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4378" w14:textId="65BEDBB2" w:rsidR="00483D31" w:rsidRDefault="00D4388E" w:rsidP="0037287A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35A88" wp14:editId="512A6B52">
            <wp:simplePos x="0" y="0"/>
            <wp:positionH relativeFrom="column">
              <wp:posOffset>-523875</wp:posOffset>
            </wp:positionH>
            <wp:positionV relativeFrom="paragraph">
              <wp:posOffset>-552450</wp:posOffset>
            </wp:positionV>
            <wp:extent cx="2495550" cy="4621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EXHIBIT I</w:t>
      </w:r>
    </w:p>
    <w:p w14:paraId="29523FB1" w14:textId="6363FCEF" w:rsidR="0037287A" w:rsidRDefault="00D4388E" w:rsidP="0037287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FEE PROPOSAL</w:t>
      </w:r>
    </w:p>
    <w:p w14:paraId="41F68539" w14:textId="77777777" w:rsidR="0037287A" w:rsidRDefault="0037287A" w:rsidP="0037287A">
      <w:pPr>
        <w:rPr>
          <w:rFonts w:ascii="Arial" w:hAnsi="Arial" w:cs="Arial"/>
          <w:b/>
          <w:bCs/>
          <w:sz w:val="24"/>
          <w:szCs w:val="24"/>
        </w:rPr>
      </w:pPr>
    </w:p>
    <w:p w14:paraId="02559FD5" w14:textId="253A4156" w:rsidR="0037287A" w:rsidRDefault="0037287A" w:rsidP="00372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January 1, 2021 – December 31, 202</w:t>
      </w:r>
      <w:r w:rsidR="00D4388E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Plan Year</w:t>
      </w:r>
      <w:r w:rsidR="00D4388E">
        <w:rPr>
          <w:rFonts w:ascii="Arial" w:hAnsi="Arial" w:cs="Arial"/>
          <w:b/>
          <w:bCs/>
          <w:sz w:val="24"/>
          <w:szCs w:val="24"/>
        </w:rPr>
        <w:t>s</w:t>
      </w:r>
    </w:p>
    <w:p w14:paraId="289A5B0C" w14:textId="5B51ED8B" w:rsidR="00D82395" w:rsidRPr="00E74B77" w:rsidRDefault="00D82395" w:rsidP="0037287A">
      <w:pPr>
        <w:rPr>
          <w:rFonts w:ascii="Arial" w:hAnsi="Arial" w:cs="Arial"/>
          <w:b/>
          <w:bCs/>
          <w:u w:val="single"/>
        </w:rPr>
      </w:pPr>
      <w:r w:rsidRPr="00E74B77">
        <w:rPr>
          <w:rFonts w:ascii="Arial" w:hAnsi="Arial" w:cs="Arial"/>
          <w:b/>
          <w:bCs/>
          <w:u w:val="single"/>
        </w:rPr>
        <w:t>Recordkeeping</w:t>
      </w: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1834"/>
        <w:gridCol w:w="1401"/>
        <w:gridCol w:w="2731"/>
        <w:gridCol w:w="1272"/>
        <w:gridCol w:w="1079"/>
        <w:gridCol w:w="1337"/>
        <w:gridCol w:w="1236"/>
      </w:tblGrid>
      <w:tr w:rsidR="00A0493F" w14:paraId="15628ED8" w14:textId="77777777" w:rsidTr="00A0493F">
        <w:tc>
          <w:tcPr>
            <w:tcW w:w="1834" w:type="dxa"/>
          </w:tcPr>
          <w:p w14:paraId="037B4022" w14:textId="77777777" w:rsidR="00D82395" w:rsidRPr="00D82395" w:rsidRDefault="00D82395" w:rsidP="00372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2A581AD1" w14:textId="7F19B214" w:rsidR="00D82395" w:rsidRPr="00D82395" w:rsidRDefault="00D82395" w:rsidP="00D82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Marketing Company</w:t>
            </w:r>
          </w:p>
        </w:tc>
        <w:tc>
          <w:tcPr>
            <w:tcW w:w="2731" w:type="dxa"/>
            <w:vAlign w:val="center"/>
          </w:tcPr>
          <w:p w14:paraId="11097BD3" w14:textId="6424E9E5" w:rsidR="00D82395" w:rsidRPr="00D82395" w:rsidRDefault="00D82395" w:rsidP="00D82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Administrative Company</w:t>
            </w:r>
          </w:p>
        </w:tc>
        <w:tc>
          <w:tcPr>
            <w:tcW w:w="1272" w:type="dxa"/>
            <w:vAlign w:val="center"/>
          </w:tcPr>
          <w:p w14:paraId="33E01476" w14:textId="0B557AD0" w:rsidR="00D82395" w:rsidRPr="00D82395" w:rsidRDefault="00D82395" w:rsidP="00D82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Investment Manager</w:t>
            </w:r>
          </w:p>
        </w:tc>
        <w:tc>
          <w:tcPr>
            <w:tcW w:w="1079" w:type="dxa"/>
            <w:vAlign w:val="center"/>
          </w:tcPr>
          <w:p w14:paraId="367DBF4C" w14:textId="143FA5AC" w:rsidR="00D82395" w:rsidRPr="00D82395" w:rsidRDefault="00D82395" w:rsidP="00D82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Trustee</w:t>
            </w:r>
          </w:p>
        </w:tc>
        <w:tc>
          <w:tcPr>
            <w:tcW w:w="1337" w:type="dxa"/>
            <w:vAlign w:val="center"/>
          </w:tcPr>
          <w:p w14:paraId="11208494" w14:textId="59DD7326" w:rsidR="00D82395" w:rsidRPr="00D82395" w:rsidRDefault="00D82395" w:rsidP="00D82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236" w:type="dxa"/>
            <w:vAlign w:val="center"/>
          </w:tcPr>
          <w:p w14:paraId="278ADD8F" w14:textId="6B10BD38" w:rsidR="00D82395" w:rsidRPr="00D82395" w:rsidRDefault="00D82395" w:rsidP="00D823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C7DC8" w14:paraId="191437F7" w14:textId="77777777" w:rsidTr="00A0493F">
        <w:tc>
          <w:tcPr>
            <w:tcW w:w="1834" w:type="dxa"/>
            <w:vAlign w:val="center"/>
          </w:tcPr>
          <w:p w14:paraId="010EAA6C" w14:textId="58B90B7A" w:rsidR="00CB7157" w:rsidRPr="00D82395" w:rsidRDefault="00CB7157" w:rsidP="00615D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Administrative, Enrollment and Communication fees</w:t>
            </w:r>
          </w:p>
        </w:tc>
        <w:tc>
          <w:tcPr>
            <w:tcW w:w="1401" w:type="dxa"/>
            <w:vAlign w:val="center"/>
          </w:tcPr>
          <w:p w14:paraId="2AAC9C52" w14:textId="4D348137" w:rsidR="00CB7157" w:rsidRPr="00E004CB" w:rsidRDefault="00CB7157" w:rsidP="00E00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731" w:type="dxa"/>
            <w:vAlign w:val="center"/>
          </w:tcPr>
          <w:p w14:paraId="7F848BD6" w14:textId="77777777" w:rsidR="00CB7157" w:rsidRPr="00E004CB" w:rsidRDefault="00CB7157" w:rsidP="00CB7157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color w:val="4E9D45"/>
              </w:rPr>
            </w:pPr>
            <w:r w:rsidRPr="00E004CB">
              <w:rPr>
                <w:rFonts w:ascii="Arial" w:hAnsi="Arial" w:cs="Arial"/>
                <w:color w:val="4E9D45"/>
              </w:rPr>
              <w:t>$0</w:t>
            </w:r>
          </w:p>
          <w:p w14:paraId="3AF5BA46" w14:textId="1AF588B4" w:rsidR="00CB7157" w:rsidRPr="00CB7157" w:rsidRDefault="00CB7157" w:rsidP="00CB71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157">
              <w:rPr>
                <w:rFonts w:ascii="Arial" w:hAnsi="Arial" w:cs="Arial"/>
                <w:i/>
                <w:iCs/>
                <w:sz w:val="18"/>
                <w:szCs w:val="18"/>
              </w:rPr>
              <w:t>Includes Plan Administration, Reporting, Distribution Processing, Customer Service, and Fiduciary</w:t>
            </w:r>
          </w:p>
        </w:tc>
        <w:tc>
          <w:tcPr>
            <w:tcW w:w="1272" w:type="dxa"/>
            <w:vAlign w:val="center"/>
          </w:tcPr>
          <w:p w14:paraId="7FF7F584" w14:textId="1E1E6834" w:rsidR="00CB7157" w:rsidRPr="00E004CB" w:rsidRDefault="00CB7157" w:rsidP="00E00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79" w:type="dxa"/>
            <w:vAlign w:val="center"/>
          </w:tcPr>
          <w:p w14:paraId="6692C8A1" w14:textId="07AD48E3" w:rsidR="00CB7157" w:rsidRPr="00E004CB" w:rsidRDefault="00CB7157" w:rsidP="00E00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337" w:type="dxa"/>
            <w:vAlign w:val="center"/>
          </w:tcPr>
          <w:p w14:paraId="2827B61C" w14:textId="5240CF8E" w:rsidR="00CB7157" w:rsidRPr="00E004CB" w:rsidRDefault="00CB7157" w:rsidP="00E00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36" w:type="dxa"/>
            <w:vAlign w:val="center"/>
          </w:tcPr>
          <w:p w14:paraId="2D7BEEE8" w14:textId="77777777" w:rsidR="00A0493F" w:rsidRPr="00A0493F" w:rsidRDefault="00A0493F" w:rsidP="00A0493F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color w:val="4E9D45"/>
                <w:sz w:val="28"/>
                <w:szCs w:val="28"/>
              </w:rPr>
            </w:pPr>
            <w:r w:rsidRPr="00A0493F">
              <w:rPr>
                <w:rFonts w:ascii="Arial" w:hAnsi="Arial" w:cs="Arial"/>
                <w:color w:val="4E9D45"/>
                <w:sz w:val="28"/>
                <w:szCs w:val="28"/>
              </w:rPr>
              <w:t>$0</w:t>
            </w:r>
          </w:p>
          <w:p w14:paraId="1682200C" w14:textId="77777777" w:rsidR="00CB7157" w:rsidRPr="00CB7157" w:rsidRDefault="00CB7157" w:rsidP="00CB71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93F" w14:paraId="40611F01" w14:textId="77777777" w:rsidTr="00A0493F">
        <w:trPr>
          <w:trHeight w:val="350"/>
        </w:trPr>
        <w:tc>
          <w:tcPr>
            <w:tcW w:w="1834" w:type="dxa"/>
            <w:vAlign w:val="center"/>
          </w:tcPr>
          <w:p w14:paraId="37B3BCC6" w14:textId="7E223F76" w:rsidR="00A0493F" w:rsidRPr="00D82395" w:rsidRDefault="00A0493F" w:rsidP="00A04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Set-up fees</w:t>
            </w:r>
          </w:p>
        </w:tc>
        <w:tc>
          <w:tcPr>
            <w:tcW w:w="1401" w:type="dxa"/>
            <w:vAlign w:val="center"/>
          </w:tcPr>
          <w:p w14:paraId="055DBAB2" w14:textId="5A027E3F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731" w:type="dxa"/>
            <w:vAlign w:val="center"/>
          </w:tcPr>
          <w:p w14:paraId="4794E295" w14:textId="77777777" w:rsidR="00A0493F" w:rsidRPr="00E004CB" w:rsidRDefault="00A0493F" w:rsidP="00A0493F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color w:val="4E9D45"/>
              </w:rPr>
            </w:pPr>
            <w:r w:rsidRPr="00E004CB">
              <w:rPr>
                <w:rFonts w:ascii="Arial" w:hAnsi="Arial" w:cs="Arial"/>
                <w:color w:val="4E9D45"/>
              </w:rPr>
              <w:t>$0</w:t>
            </w:r>
          </w:p>
          <w:p w14:paraId="77CFEC11" w14:textId="35C53F81" w:rsidR="00A0493F" w:rsidRPr="00615D6C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5D6C">
              <w:rPr>
                <w:rFonts w:ascii="Arial" w:hAnsi="Arial" w:cs="Arial"/>
                <w:i/>
                <w:iCs/>
                <w:sz w:val="18"/>
                <w:szCs w:val="18"/>
              </w:rPr>
              <w:t>Includes Plan Document, Adoption Agreement, and Plan Highlights</w:t>
            </w:r>
          </w:p>
        </w:tc>
        <w:tc>
          <w:tcPr>
            <w:tcW w:w="1272" w:type="dxa"/>
            <w:vAlign w:val="center"/>
          </w:tcPr>
          <w:p w14:paraId="7EA04B39" w14:textId="2F04BD82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79" w:type="dxa"/>
            <w:vAlign w:val="center"/>
          </w:tcPr>
          <w:p w14:paraId="6672BE12" w14:textId="152D4D62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337" w:type="dxa"/>
            <w:vAlign w:val="center"/>
          </w:tcPr>
          <w:p w14:paraId="5AF295D3" w14:textId="68914F13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36" w:type="dxa"/>
            <w:vAlign w:val="center"/>
          </w:tcPr>
          <w:p w14:paraId="276A9EF7" w14:textId="1D8B3E84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</w:tr>
      <w:tr w:rsidR="00A0493F" w14:paraId="36E565E8" w14:textId="77777777" w:rsidTr="00A0493F">
        <w:trPr>
          <w:trHeight w:val="359"/>
        </w:trPr>
        <w:tc>
          <w:tcPr>
            <w:tcW w:w="1834" w:type="dxa"/>
            <w:vAlign w:val="center"/>
          </w:tcPr>
          <w:p w14:paraId="68EF48D2" w14:textId="3745EBE1" w:rsidR="00A0493F" w:rsidRPr="00D82395" w:rsidRDefault="00A0493F" w:rsidP="00A04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fees</w:t>
            </w:r>
          </w:p>
        </w:tc>
        <w:tc>
          <w:tcPr>
            <w:tcW w:w="1401" w:type="dxa"/>
            <w:vAlign w:val="center"/>
          </w:tcPr>
          <w:p w14:paraId="3EC989DD" w14:textId="47FBCCF0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731" w:type="dxa"/>
            <w:vAlign w:val="center"/>
          </w:tcPr>
          <w:p w14:paraId="54BABA80" w14:textId="2FBEA261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  <w:tc>
          <w:tcPr>
            <w:tcW w:w="1272" w:type="dxa"/>
            <w:vAlign w:val="center"/>
          </w:tcPr>
          <w:p w14:paraId="1A91AAD3" w14:textId="2E7CF18F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79" w:type="dxa"/>
            <w:vAlign w:val="center"/>
          </w:tcPr>
          <w:p w14:paraId="615330D3" w14:textId="0D4418BB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337" w:type="dxa"/>
            <w:vAlign w:val="center"/>
          </w:tcPr>
          <w:p w14:paraId="4F84F621" w14:textId="19FA55EF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36" w:type="dxa"/>
            <w:vAlign w:val="center"/>
          </w:tcPr>
          <w:p w14:paraId="3AE323E9" w14:textId="01EA082D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</w:tr>
      <w:tr w:rsidR="00A0493F" w14:paraId="1E2787A3" w14:textId="77777777" w:rsidTr="00A0493F">
        <w:trPr>
          <w:trHeight w:val="341"/>
        </w:trPr>
        <w:tc>
          <w:tcPr>
            <w:tcW w:w="1834" w:type="dxa"/>
            <w:vAlign w:val="center"/>
          </w:tcPr>
          <w:p w14:paraId="19833AF8" w14:textId="4D890524" w:rsidR="00A0493F" w:rsidRPr="00D82395" w:rsidRDefault="00A0493F" w:rsidP="00A04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 fees</w:t>
            </w:r>
          </w:p>
        </w:tc>
        <w:tc>
          <w:tcPr>
            <w:tcW w:w="1401" w:type="dxa"/>
            <w:vAlign w:val="center"/>
          </w:tcPr>
          <w:p w14:paraId="5A79ECB9" w14:textId="59D40F11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731" w:type="dxa"/>
            <w:vAlign w:val="center"/>
          </w:tcPr>
          <w:p w14:paraId="127B4AA1" w14:textId="18E5A904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  <w:tc>
          <w:tcPr>
            <w:tcW w:w="1272" w:type="dxa"/>
            <w:vAlign w:val="center"/>
          </w:tcPr>
          <w:p w14:paraId="1EEAB8AA" w14:textId="16974471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79" w:type="dxa"/>
            <w:vAlign w:val="center"/>
          </w:tcPr>
          <w:p w14:paraId="2DBB11BF" w14:textId="1C0860C5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337" w:type="dxa"/>
            <w:vAlign w:val="center"/>
          </w:tcPr>
          <w:p w14:paraId="7CA4AADE" w14:textId="54302385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36" w:type="dxa"/>
            <w:vAlign w:val="center"/>
          </w:tcPr>
          <w:p w14:paraId="543C08B9" w14:textId="0A485EFF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</w:tr>
      <w:tr w:rsidR="00A0493F" w14:paraId="38ACD036" w14:textId="77777777" w:rsidTr="00A0493F">
        <w:trPr>
          <w:trHeight w:val="350"/>
        </w:trPr>
        <w:tc>
          <w:tcPr>
            <w:tcW w:w="1834" w:type="dxa"/>
            <w:vAlign w:val="center"/>
          </w:tcPr>
          <w:p w14:paraId="6D8B374D" w14:textId="4454A0A8" w:rsidR="00A0493F" w:rsidRPr="00D82395" w:rsidRDefault="00A0493F" w:rsidP="00A049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 fees</w:t>
            </w:r>
          </w:p>
        </w:tc>
        <w:tc>
          <w:tcPr>
            <w:tcW w:w="1401" w:type="dxa"/>
            <w:vAlign w:val="center"/>
          </w:tcPr>
          <w:p w14:paraId="10D582EE" w14:textId="01A11184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731" w:type="dxa"/>
            <w:vAlign w:val="center"/>
          </w:tcPr>
          <w:p w14:paraId="6A0CA4F9" w14:textId="6670240B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  <w:r w:rsidR="00A10166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*</w:t>
            </w:r>
          </w:p>
        </w:tc>
        <w:tc>
          <w:tcPr>
            <w:tcW w:w="1272" w:type="dxa"/>
            <w:vAlign w:val="center"/>
          </w:tcPr>
          <w:p w14:paraId="0221CD5C" w14:textId="02FFF2AA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79" w:type="dxa"/>
            <w:vAlign w:val="center"/>
          </w:tcPr>
          <w:p w14:paraId="65D00149" w14:textId="0EE71154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337" w:type="dxa"/>
            <w:vAlign w:val="center"/>
          </w:tcPr>
          <w:p w14:paraId="77CE3691" w14:textId="1350FE96" w:rsidR="00A0493F" w:rsidRPr="00E004CB" w:rsidRDefault="00A0493F" w:rsidP="00A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36" w:type="dxa"/>
            <w:vAlign w:val="center"/>
          </w:tcPr>
          <w:p w14:paraId="3D1062D8" w14:textId="662B2BEB" w:rsidR="00A0493F" w:rsidRPr="00A0493F" w:rsidRDefault="00A0493F" w:rsidP="00A04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  <w:r w:rsidR="00A10166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*</w:t>
            </w:r>
          </w:p>
        </w:tc>
      </w:tr>
      <w:tr w:rsidR="00A0493F" w14:paraId="687B8DC4" w14:textId="77777777" w:rsidTr="009E4D6E">
        <w:trPr>
          <w:trHeight w:val="917"/>
        </w:trPr>
        <w:tc>
          <w:tcPr>
            <w:tcW w:w="1834" w:type="dxa"/>
            <w:vAlign w:val="center"/>
          </w:tcPr>
          <w:p w14:paraId="58BC75FE" w14:textId="24DC3F8D" w:rsidR="00A0493F" w:rsidRPr="00D82395" w:rsidRDefault="00A0493F" w:rsidP="009E4D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(Describe)</w:t>
            </w:r>
          </w:p>
        </w:tc>
        <w:tc>
          <w:tcPr>
            <w:tcW w:w="1401" w:type="dxa"/>
            <w:vAlign w:val="center"/>
          </w:tcPr>
          <w:p w14:paraId="51076AF6" w14:textId="2751FF98" w:rsidR="00A0493F" w:rsidRPr="00E004CB" w:rsidRDefault="00A0493F" w:rsidP="009E4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731" w:type="dxa"/>
            <w:vAlign w:val="center"/>
          </w:tcPr>
          <w:p w14:paraId="115180D5" w14:textId="77777777" w:rsidR="009E4D6E" w:rsidRDefault="009E4D6E" w:rsidP="009E4D6E">
            <w:pPr>
              <w:pStyle w:val="BodyText"/>
              <w:ind w:right="114"/>
              <w:jc w:val="center"/>
              <w:rPr>
                <w:rFonts w:ascii="Arial" w:hAnsi="Arial" w:cs="Arial"/>
                <w:color w:val="4E9D45"/>
              </w:rPr>
            </w:pPr>
          </w:p>
          <w:p w14:paraId="14ED7676" w14:textId="514CFB4C" w:rsidR="009E4D6E" w:rsidRPr="00E004CB" w:rsidRDefault="00A0493F" w:rsidP="009E4D6E">
            <w:pPr>
              <w:pStyle w:val="BodyText"/>
              <w:ind w:right="11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color w:val="4E9D45"/>
              </w:rPr>
              <w:t>$</w:t>
            </w:r>
            <w:r w:rsidR="009E4D6E">
              <w:rPr>
                <w:rFonts w:ascii="Arial" w:hAnsi="Arial" w:cs="Arial"/>
                <w:color w:val="4E9D45"/>
              </w:rPr>
              <w:t>0</w:t>
            </w:r>
            <w:r w:rsidRPr="006A4761">
              <w:rPr>
                <w:rFonts w:ascii="Arial" w:hAnsi="Arial" w:cs="Arial"/>
                <w:color w:val="4E9D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4E9D45"/>
                <w:sz w:val="28"/>
                <w:szCs w:val="28"/>
              </w:rPr>
              <w:br/>
            </w:r>
          </w:p>
          <w:p w14:paraId="249F4978" w14:textId="7233F3C7" w:rsidR="00A0493F" w:rsidRPr="00E004CB" w:rsidRDefault="00A0493F" w:rsidP="009E4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0DD23BDE" w14:textId="014CA9F5" w:rsidR="00A0493F" w:rsidRPr="00E004CB" w:rsidRDefault="00A0493F" w:rsidP="009E4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79" w:type="dxa"/>
            <w:vAlign w:val="center"/>
          </w:tcPr>
          <w:p w14:paraId="554F5AC3" w14:textId="2D5D0984" w:rsidR="00A0493F" w:rsidRPr="00E004CB" w:rsidRDefault="00A0493F" w:rsidP="009E4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337" w:type="dxa"/>
            <w:vAlign w:val="center"/>
          </w:tcPr>
          <w:p w14:paraId="6059BDA2" w14:textId="2A4E658A" w:rsidR="00A0493F" w:rsidRPr="00E004CB" w:rsidRDefault="00A0493F" w:rsidP="009E4D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36" w:type="dxa"/>
            <w:vAlign w:val="center"/>
          </w:tcPr>
          <w:p w14:paraId="5F711C6D" w14:textId="77777777" w:rsidR="009E4D6E" w:rsidRDefault="009E4D6E" w:rsidP="009E4D6E">
            <w:pPr>
              <w:pStyle w:val="BodyText"/>
              <w:ind w:right="114"/>
              <w:jc w:val="center"/>
              <w:rPr>
                <w:rFonts w:ascii="Arial" w:hAnsi="Arial" w:cs="Arial"/>
                <w:color w:val="4E9D45"/>
              </w:rPr>
            </w:pPr>
          </w:p>
          <w:p w14:paraId="5A2B8B4F" w14:textId="7EC82645" w:rsidR="009E4D6E" w:rsidRPr="00A0493F" w:rsidRDefault="00A0493F" w:rsidP="009E4D6E">
            <w:pPr>
              <w:pStyle w:val="BodyText"/>
              <w:ind w:right="114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004CB">
              <w:rPr>
                <w:rFonts w:ascii="Arial" w:hAnsi="Arial" w:cs="Arial"/>
                <w:color w:val="4E9D45"/>
              </w:rPr>
              <w:t>$</w:t>
            </w:r>
            <w:r w:rsidR="009E4D6E">
              <w:rPr>
                <w:rFonts w:ascii="Arial" w:hAnsi="Arial" w:cs="Arial"/>
                <w:color w:val="4E9D45"/>
              </w:rPr>
              <w:t>0</w:t>
            </w:r>
            <w:r w:rsidRPr="006A4761">
              <w:rPr>
                <w:rFonts w:ascii="Arial" w:hAnsi="Arial" w:cs="Arial"/>
                <w:color w:val="4E9D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4E9D45"/>
                <w:sz w:val="28"/>
                <w:szCs w:val="28"/>
              </w:rPr>
              <w:br/>
            </w:r>
          </w:p>
          <w:p w14:paraId="6DCCE509" w14:textId="557D910E" w:rsidR="00A0493F" w:rsidRPr="00A0493F" w:rsidRDefault="00A0493F" w:rsidP="009E4D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ABFE37" w14:textId="635107EE" w:rsidR="00A10166" w:rsidRDefault="00A10166" w:rsidP="009E4D6E">
      <w:pPr>
        <w:spacing w:after="240" w:line="240" w:lineRule="auto"/>
        <w:jc w:val="both"/>
        <w:rPr>
          <w:rFonts w:ascii="Arial" w:hAnsi="Arial" w:cs="Arial"/>
          <w:i/>
          <w:iCs/>
          <w:color w:val="404040" w:themeColor="text1" w:themeTint="BF"/>
          <w:sz w:val="18"/>
          <w:szCs w:val="18"/>
        </w:rPr>
      </w:pPr>
      <w:r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*There are no fees charged for processing of QDROs, loans, or transfers, or for compliance services.</w:t>
      </w:r>
    </w:p>
    <w:p w14:paraId="729CEB8B" w14:textId="11BB5F40" w:rsidR="00323BA1" w:rsidRPr="00E74B77" w:rsidRDefault="00323BA1" w:rsidP="00323BA1">
      <w:pPr>
        <w:jc w:val="both"/>
        <w:rPr>
          <w:rFonts w:ascii="Arial" w:hAnsi="Arial" w:cs="Arial"/>
          <w:u w:val="single"/>
        </w:rPr>
      </w:pPr>
      <w:r w:rsidRPr="00E74B77">
        <w:rPr>
          <w:rFonts w:ascii="Arial" w:hAnsi="Arial" w:cs="Arial"/>
          <w:b/>
          <w:bCs/>
          <w:u w:val="single"/>
        </w:rPr>
        <w:t xml:space="preserve">Investment Management </w:t>
      </w:r>
    </w:p>
    <w:tbl>
      <w:tblPr>
        <w:tblStyle w:val="TableGrid"/>
        <w:tblpPr w:leftFromText="180" w:rightFromText="180" w:vertAnchor="text" w:horzAnchor="margin" w:tblpXSpec="center" w:tblpY="249"/>
        <w:tblW w:w="10620" w:type="dxa"/>
        <w:tblLook w:val="04A0" w:firstRow="1" w:lastRow="0" w:firstColumn="1" w:lastColumn="0" w:noHBand="0" w:noVBand="1"/>
      </w:tblPr>
      <w:tblGrid>
        <w:gridCol w:w="2970"/>
        <w:gridCol w:w="7650"/>
      </w:tblGrid>
      <w:tr w:rsidR="00BC2A1C" w14:paraId="53EE13D7" w14:textId="77777777" w:rsidTr="00E74B77">
        <w:tc>
          <w:tcPr>
            <w:tcW w:w="2970" w:type="dxa"/>
            <w:vAlign w:val="center"/>
          </w:tcPr>
          <w:p w14:paraId="2B4A1481" w14:textId="77777777" w:rsidR="00BC2A1C" w:rsidRPr="00323BA1" w:rsidRDefault="00BC2A1C" w:rsidP="00E74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A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650" w:type="dxa"/>
            <w:vAlign w:val="center"/>
          </w:tcPr>
          <w:p w14:paraId="540160DE" w14:textId="77777777" w:rsidR="00BC2A1C" w:rsidRPr="00323BA1" w:rsidRDefault="00BC2A1C" w:rsidP="00E74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A1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</w:tr>
      <w:tr w:rsidR="00BC2A1C" w14:paraId="31A125FB" w14:textId="77777777" w:rsidTr="00E74B77">
        <w:tc>
          <w:tcPr>
            <w:tcW w:w="2970" w:type="dxa"/>
          </w:tcPr>
          <w:p w14:paraId="6F7C0E39" w14:textId="7777777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Deposit Charge</w:t>
            </w:r>
          </w:p>
        </w:tc>
        <w:tc>
          <w:tcPr>
            <w:tcW w:w="7650" w:type="dxa"/>
          </w:tcPr>
          <w:p w14:paraId="053A88DC" w14:textId="7777777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BC2A1C" w14:paraId="1C79FEE2" w14:textId="77777777" w:rsidTr="00E74B77">
        <w:tc>
          <w:tcPr>
            <w:tcW w:w="2970" w:type="dxa"/>
          </w:tcPr>
          <w:p w14:paraId="0E3AE1A8" w14:textId="7777777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Asset Charge</w:t>
            </w:r>
          </w:p>
        </w:tc>
        <w:tc>
          <w:tcPr>
            <w:tcW w:w="7650" w:type="dxa"/>
          </w:tcPr>
          <w:p w14:paraId="03EFAAD9" w14:textId="7777777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.50% on variable assets and 0% on fixed assets</w:t>
            </w:r>
          </w:p>
        </w:tc>
      </w:tr>
      <w:tr w:rsidR="00BC2A1C" w14:paraId="7C68F382" w14:textId="77777777" w:rsidTr="00E74B77">
        <w:tc>
          <w:tcPr>
            <w:tcW w:w="2970" w:type="dxa"/>
          </w:tcPr>
          <w:p w14:paraId="0F33D27C" w14:textId="7777777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Withdrawal Penalty</w:t>
            </w:r>
          </w:p>
        </w:tc>
        <w:tc>
          <w:tcPr>
            <w:tcW w:w="7650" w:type="dxa"/>
          </w:tcPr>
          <w:p w14:paraId="521EA33B" w14:textId="2F36375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Six (6) installments over five (5) years. Or, if desired, we can discuss adding a market value adjustment to the fixed account. There are no withdrawal penalties or withdrawal restrictions for variable funds.</w:t>
            </w:r>
          </w:p>
        </w:tc>
      </w:tr>
      <w:tr w:rsidR="00BC2A1C" w14:paraId="62197361" w14:textId="77777777" w:rsidTr="00E74B77">
        <w:tc>
          <w:tcPr>
            <w:tcW w:w="2970" w:type="dxa"/>
          </w:tcPr>
          <w:p w14:paraId="6152C3B3" w14:textId="77777777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650" w:type="dxa"/>
          </w:tcPr>
          <w:p w14:paraId="3F2AA56F" w14:textId="0B1DCAE9" w:rsidR="00BC2A1C" w:rsidRPr="00323BA1" w:rsidRDefault="00BC2A1C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Not applicable, unless one of the specialty investment management products is instituted. In each case, we would pass through the cost.</w:t>
            </w:r>
          </w:p>
        </w:tc>
      </w:tr>
    </w:tbl>
    <w:p w14:paraId="67F4566C" w14:textId="23A46067" w:rsidR="00323BA1" w:rsidRDefault="00323BA1" w:rsidP="00323BA1">
      <w:pPr>
        <w:jc w:val="both"/>
        <w:rPr>
          <w:rFonts w:ascii="Arial" w:hAnsi="Arial" w:cs="Arial"/>
        </w:rPr>
      </w:pPr>
    </w:p>
    <w:p w14:paraId="68B44670" w14:textId="30720BCD" w:rsidR="008E6FE8" w:rsidRPr="008E6FE8" w:rsidRDefault="008E6FE8" w:rsidP="00E74B77">
      <w:pPr>
        <w:spacing w:after="120" w:line="240" w:lineRule="auto"/>
        <w:jc w:val="both"/>
        <w:rPr>
          <w:rFonts w:ascii="Arial" w:hAnsi="Arial" w:cs="Arial"/>
          <w:b/>
          <w:bCs/>
          <w:color w:val="595959"/>
        </w:rPr>
      </w:pPr>
      <w:r w:rsidRPr="008E6FE8">
        <w:rPr>
          <w:rFonts w:ascii="Arial" w:hAnsi="Arial" w:cs="Arial"/>
          <w:b/>
          <w:bCs/>
          <w:color w:val="595959"/>
        </w:rPr>
        <w:t>MidAmerica would normally charge an inactivity fee of $1 per participant per month on the FICA Alternative Plan only. This fee is deducted directly from the participant account and applies if participants are eligible to take full distributions.</w:t>
      </w:r>
      <w:r>
        <w:rPr>
          <w:rFonts w:ascii="Arial" w:hAnsi="Arial" w:cs="Arial"/>
          <w:b/>
          <w:bCs/>
          <w:color w:val="595959"/>
        </w:rPr>
        <w:t xml:space="preserve"> There are never any administrative fees on the Special Pay Plan.</w:t>
      </w:r>
    </w:p>
    <w:p w14:paraId="31135AD4" w14:textId="412DD52B" w:rsidR="00E74B77" w:rsidRPr="00E74B77" w:rsidRDefault="00E74B77" w:rsidP="00E74B77">
      <w:pPr>
        <w:spacing w:after="120" w:line="240" w:lineRule="auto"/>
        <w:jc w:val="both"/>
        <w:rPr>
          <w:rFonts w:ascii="Arial" w:hAnsi="Arial" w:cs="Arial"/>
          <w:color w:val="FF0000"/>
        </w:rPr>
      </w:pPr>
      <w:r w:rsidRPr="00E74B77">
        <w:rPr>
          <w:rFonts w:ascii="Arial" w:hAnsi="Arial" w:cs="Arial"/>
          <w:b/>
          <w:bCs/>
          <w:color w:val="FF0000"/>
        </w:rPr>
        <w:t xml:space="preserve">MidAmerica is pleased to waive the inactivity fee on the FICA Alternative Plan for a period of two (2) years after the plan’s go-live date. After the two-year period has elapsed, inactive </w:t>
      </w:r>
      <w:r w:rsidRPr="00E74B77">
        <w:rPr>
          <w:rFonts w:ascii="Arial" w:hAnsi="Arial" w:cs="Arial"/>
          <w:b/>
          <w:bCs/>
          <w:color w:val="FF0000"/>
        </w:rPr>
        <w:lastRenderedPageBreak/>
        <w:t xml:space="preserve">participant fees will be assessed per our normal fee structure. The M+E fee </w:t>
      </w:r>
      <w:r w:rsidR="00FA1375">
        <w:rPr>
          <w:rFonts w:ascii="Arial" w:hAnsi="Arial" w:cs="Arial"/>
          <w:b/>
          <w:bCs/>
          <w:color w:val="FF0000"/>
        </w:rPr>
        <w:t xml:space="preserve">of .50% </w:t>
      </w:r>
      <w:r w:rsidRPr="00E74B77">
        <w:rPr>
          <w:rFonts w:ascii="Arial" w:hAnsi="Arial" w:cs="Arial"/>
          <w:b/>
          <w:bCs/>
          <w:color w:val="FF0000"/>
        </w:rPr>
        <w:t>on variable investments will still be assessed as applicable.</w:t>
      </w:r>
    </w:p>
    <w:p w14:paraId="221F2170" w14:textId="223B7F2E" w:rsidR="009E4D6E" w:rsidRDefault="009E4D6E">
      <w:pPr>
        <w:rPr>
          <w:rFonts w:ascii="Arial" w:hAnsi="Arial" w:cs="Arial"/>
          <w:b/>
          <w:bCs/>
          <w:sz w:val="24"/>
          <w:szCs w:val="24"/>
        </w:rPr>
      </w:pPr>
    </w:p>
    <w:p w14:paraId="745A7DF2" w14:textId="3DD00279" w:rsidR="00473F6D" w:rsidRDefault="00D4388E" w:rsidP="00473F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Beginning</w:t>
      </w:r>
      <w:r w:rsidR="00473F6D">
        <w:rPr>
          <w:rFonts w:ascii="Arial" w:hAnsi="Arial" w:cs="Arial"/>
          <w:b/>
          <w:bCs/>
          <w:sz w:val="24"/>
          <w:szCs w:val="24"/>
        </w:rPr>
        <w:t xml:space="preserve"> January 1, 2023 Plan Year</w:t>
      </w:r>
    </w:p>
    <w:p w14:paraId="4E9EA207" w14:textId="77777777" w:rsidR="00473F6D" w:rsidRPr="00E74B77" w:rsidRDefault="00473F6D" w:rsidP="00473F6D">
      <w:pPr>
        <w:rPr>
          <w:rFonts w:ascii="Arial" w:hAnsi="Arial" w:cs="Arial"/>
          <w:b/>
          <w:bCs/>
          <w:u w:val="single"/>
        </w:rPr>
      </w:pPr>
      <w:r w:rsidRPr="00E74B77">
        <w:rPr>
          <w:rFonts w:ascii="Arial" w:hAnsi="Arial" w:cs="Arial"/>
          <w:b/>
          <w:bCs/>
          <w:u w:val="single"/>
        </w:rPr>
        <w:t>Recordkeeping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1858"/>
        <w:gridCol w:w="1292"/>
        <w:gridCol w:w="2506"/>
        <w:gridCol w:w="1274"/>
        <w:gridCol w:w="1080"/>
        <w:gridCol w:w="1260"/>
        <w:gridCol w:w="1530"/>
      </w:tblGrid>
      <w:tr w:rsidR="00473F6D" w14:paraId="48AFC723" w14:textId="77777777" w:rsidTr="000D0E0B">
        <w:tc>
          <w:tcPr>
            <w:tcW w:w="1858" w:type="dxa"/>
          </w:tcPr>
          <w:p w14:paraId="36BABCC9" w14:textId="77777777" w:rsidR="00473F6D" w:rsidRPr="00D82395" w:rsidRDefault="00473F6D" w:rsidP="00A10A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14:paraId="34E9477B" w14:textId="77777777" w:rsidR="00473F6D" w:rsidRPr="00D82395" w:rsidRDefault="00473F6D" w:rsidP="00A1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Marketing Company</w:t>
            </w:r>
          </w:p>
        </w:tc>
        <w:tc>
          <w:tcPr>
            <w:tcW w:w="2506" w:type="dxa"/>
            <w:vAlign w:val="center"/>
          </w:tcPr>
          <w:p w14:paraId="74681910" w14:textId="77777777" w:rsidR="00473F6D" w:rsidRPr="00D82395" w:rsidRDefault="00473F6D" w:rsidP="00A1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Administrative Company</w:t>
            </w:r>
          </w:p>
        </w:tc>
        <w:tc>
          <w:tcPr>
            <w:tcW w:w="1274" w:type="dxa"/>
            <w:vAlign w:val="center"/>
          </w:tcPr>
          <w:p w14:paraId="589683C8" w14:textId="77777777" w:rsidR="00473F6D" w:rsidRPr="00D82395" w:rsidRDefault="00473F6D" w:rsidP="00A1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Investment Manager</w:t>
            </w:r>
          </w:p>
        </w:tc>
        <w:tc>
          <w:tcPr>
            <w:tcW w:w="1080" w:type="dxa"/>
            <w:vAlign w:val="center"/>
          </w:tcPr>
          <w:p w14:paraId="214A6AFF" w14:textId="77777777" w:rsidR="00473F6D" w:rsidRPr="00D82395" w:rsidRDefault="00473F6D" w:rsidP="00A1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Trustee</w:t>
            </w:r>
          </w:p>
        </w:tc>
        <w:tc>
          <w:tcPr>
            <w:tcW w:w="1260" w:type="dxa"/>
            <w:vAlign w:val="center"/>
          </w:tcPr>
          <w:p w14:paraId="3EF77C39" w14:textId="77777777" w:rsidR="00473F6D" w:rsidRPr="00D82395" w:rsidRDefault="00473F6D" w:rsidP="00A1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30" w:type="dxa"/>
            <w:vAlign w:val="center"/>
          </w:tcPr>
          <w:p w14:paraId="37656A67" w14:textId="77777777" w:rsidR="00473F6D" w:rsidRPr="00D82395" w:rsidRDefault="00473F6D" w:rsidP="00A1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0D0E0B" w14:paraId="176E27BF" w14:textId="77777777" w:rsidTr="000D0E0B">
        <w:tc>
          <w:tcPr>
            <w:tcW w:w="1858" w:type="dxa"/>
          </w:tcPr>
          <w:p w14:paraId="1A775BC4" w14:textId="77777777" w:rsidR="000D0E0B" w:rsidRPr="00D82395" w:rsidRDefault="000D0E0B" w:rsidP="000D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Administrative, Enrollment and Communication fees</w:t>
            </w:r>
          </w:p>
        </w:tc>
        <w:tc>
          <w:tcPr>
            <w:tcW w:w="1292" w:type="dxa"/>
            <w:vAlign w:val="center"/>
          </w:tcPr>
          <w:p w14:paraId="70081DB4" w14:textId="13E29F42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506" w:type="dxa"/>
            <w:vAlign w:val="center"/>
          </w:tcPr>
          <w:p w14:paraId="78045A4D" w14:textId="77777777" w:rsidR="000D0E0B" w:rsidRPr="00E004CB" w:rsidRDefault="000D0E0B" w:rsidP="000D0E0B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color w:val="4E9D45"/>
              </w:rPr>
            </w:pPr>
            <w:r w:rsidRPr="00E004CB">
              <w:rPr>
                <w:rFonts w:ascii="Arial" w:hAnsi="Arial" w:cs="Arial"/>
                <w:color w:val="4E9D45"/>
              </w:rPr>
              <w:t>$0</w:t>
            </w:r>
          </w:p>
          <w:p w14:paraId="026888BE" w14:textId="5A092612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157">
              <w:rPr>
                <w:rFonts w:ascii="Arial" w:hAnsi="Arial" w:cs="Arial"/>
                <w:i/>
                <w:iCs/>
                <w:sz w:val="18"/>
                <w:szCs w:val="18"/>
              </w:rPr>
              <w:t>Includes Plan Administration, Reporting, Distribution Processing, Customer Service, and Fiduciary</w:t>
            </w:r>
          </w:p>
        </w:tc>
        <w:tc>
          <w:tcPr>
            <w:tcW w:w="1274" w:type="dxa"/>
            <w:vAlign w:val="center"/>
          </w:tcPr>
          <w:p w14:paraId="7F52885B" w14:textId="2C06622C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80" w:type="dxa"/>
            <w:vAlign w:val="center"/>
          </w:tcPr>
          <w:p w14:paraId="1C461921" w14:textId="0BF0FF77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60" w:type="dxa"/>
            <w:vAlign w:val="center"/>
          </w:tcPr>
          <w:p w14:paraId="483EBA2A" w14:textId="378524AA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30" w:type="dxa"/>
            <w:vAlign w:val="center"/>
          </w:tcPr>
          <w:p w14:paraId="09DC5C96" w14:textId="77777777" w:rsidR="000D0E0B" w:rsidRPr="00A0493F" w:rsidRDefault="000D0E0B" w:rsidP="000D0E0B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color w:val="4E9D45"/>
                <w:sz w:val="28"/>
                <w:szCs w:val="28"/>
              </w:rPr>
            </w:pPr>
            <w:r w:rsidRPr="00A0493F">
              <w:rPr>
                <w:rFonts w:ascii="Arial" w:hAnsi="Arial" w:cs="Arial"/>
                <w:color w:val="4E9D45"/>
                <w:sz w:val="28"/>
                <w:szCs w:val="28"/>
              </w:rPr>
              <w:t>$0</w:t>
            </w:r>
          </w:p>
          <w:p w14:paraId="2978B96C" w14:textId="77777777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E0B" w14:paraId="5FCB44AD" w14:textId="77777777" w:rsidTr="000D0E0B">
        <w:trPr>
          <w:trHeight w:val="350"/>
        </w:trPr>
        <w:tc>
          <w:tcPr>
            <w:tcW w:w="1858" w:type="dxa"/>
          </w:tcPr>
          <w:p w14:paraId="77F7971C" w14:textId="77777777" w:rsidR="000D0E0B" w:rsidRPr="00D82395" w:rsidRDefault="000D0E0B" w:rsidP="000D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Set-up fees</w:t>
            </w:r>
          </w:p>
        </w:tc>
        <w:tc>
          <w:tcPr>
            <w:tcW w:w="1292" w:type="dxa"/>
            <w:vAlign w:val="center"/>
          </w:tcPr>
          <w:p w14:paraId="706D0D5F" w14:textId="65D89D43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506" w:type="dxa"/>
            <w:vAlign w:val="center"/>
          </w:tcPr>
          <w:p w14:paraId="42160B13" w14:textId="77777777" w:rsidR="000D0E0B" w:rsidRPr="00E004CB" w:rsidRDefault="000D0E0B" w:rsidP="000D0E0B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color w:val="4E9D45"/>
              </w:rPr>
            </w:pPr>
            <w:r w:rsidRPr="00E004CB">
              <w:rPr>
                <w:rFonts w:ascii="Arial" w:hAnsi="Arial" w:cs="Arial"/>
                <w:color w:val="4E9D45"/>
              </w:rPr>
              <w:t>$0</w:t>
            </w:r>
          </w:p>
          <w:p w14:paraId="22A6EDA0" w14:textId="62B3BBC8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D6C">
              <w:rPr>
                <w:rFonts w:ascii="Arial" w:hAnsi="Arial" w:cs="Arial"/>
                <w:i/>
                <w:iCs/>
                <w:sz w:val="18"/>
                <w:szCs w:val="18"/>
              </w:rPr>
              <w:t>Includes Plan Document, Adoption Agreement, and Plan Highlights</w:t>
            </w:r>
          </w:p>
        </w:tc>
        <w:tc>
          <w:tcPr>
            <w:tcW w:w="1274" w:type="dxa"/>
            <w:vAlign w:val="center"/>
          </w:tcPr>
          <w:p w14:paraId="78F6CD31" w14:textId="2437C65E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80" w:type="dxa"/>
            <w:vAlign w:val="center"/>
          </w:tcPr>
          <w:p w14:paraId="2F2AC83D" w14:textId="0AC1CE68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60" w:type="dxa"/>
            <w:vAlign w:val="center"/>
          </w:tcPr>
          <w:p w14:paraId="17509452" w14:textId="48181F7B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30" w:type="dxa"/>
            <w:vAlign w:val="center"/>
          </w:tcPr>
          <w:p w14:paraId="0956BE32" w14:textId="607C9842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</w:tr>
      <w:tr w:rsidR="000D0E0B" w14:paraId="66F63341" w14:textId="77777777" w:rsidTr="000D0E0B">
        <w:trPr>
          <w:trHeight w:val="359"/>
        </w:trPr>
        <w:tc>
          <w:tcPr>
            <w:tcW w:w="1858" w:type="dxa"/>
          </w:tcPr>
          <w:p w14:paraId="141689C0" w14:textId="77777777" w:rsidR="000D0E0B" w:rsidRPr="00D82395" w:rsidRDefault="000D0E0B" w:rsidP="000D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fees</w:t>
            </w:r>
          </w:p>
        </w:tc>
        <w:tc>
          <w:tcPr>
            <w:tcW w:w="1292" w:type="dxa"/>
            <w:vAlign w:val="center"/>
          </w:tcPr>
          <w:p w14:paraId="3FAF499D" w14:textId="26EA0F5E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506" w:type="dxa"/>
            <w:vAlign w:val="center"/>
          </w:tcPr>
          <w:p w14:paraId="42A7F516" w14:textId="7C5C587F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  <w:tc>
          <w:tcPr>
            <w:tcW w:w="1274" w:type="dxa"/>
            <w:vAlign w:val="center"/>
          </w:tcPr>
          <w:p w14:paraId="407219CB" w14:textId="7DBBE7AF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80" w:type="dxa"/>
            <w:vAlign w:val="center"/>
          </w:tcPr>
          <w:p w14:paraId="7454618D" w14:textId="2CB425FA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60" w:type="dxa"/>
            <w:vAlign w:val="center"/>
          </w:tcPr>
          <w:p w14:paraId="642F5223" w14:textId="1621B5F9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30" w:type="dxa"/>
            <w:vAlign w:val="center"/>
          </w:tcPr>
          <w:p w14:paraId="066EE28F" w14:textId="264ED63E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</w:tr>
      <w:tr w:rsidR="000D0E0B" w14:paraId="74021B61" w14:textId="77777777" w:rsidTr="000D0E0B">
        <w:trPr>
          <w:trHeight w:val="341"/>
        </w:trPr>
        <w:tc>
          <w:tcPr>
            <w:tcW w:w="1858" w:type="dxa"/>
          </w:tcPr>
          <w:p w14:paraId="0E19445F" w14:textId="77777777" w:rsidR="000D0E0B" w:rsidRPr="00D82395" w:rsidRDefault="000D0E0B" w:rsidP="000D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Participant fees</w:t>
            </w:r>
          </w:p>
        </w:tc>
        <w:tc>
          <w:tcPr>
            <w:tcW w:w="1292" w:type="dxa"/>
            <w:vAlign w:val="center"/>
          </w:tcPr>
          <w:p w14:paraId="7A60985F" w14:textId="397DD89F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506" w:type="dxa"/>
            <w:vAlign w:val="center"/>
          </w:tcPr>
          <w:p w14:paraId="66C266A0" w14:textId="2BEC2C45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  <w:tc>
          <w:tcPr>
            <w:tcW w:w="1274" w:type="dxa"/>
            <w:vAlign w:val="center"/>
          </w:tcPr>
          <w:p w14:paraId="4AE7FA8A" w14:textId="1E6B2B1C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80" w:type="dxa"/>
            <w:vAlign w:val="center"/>
          </w:tcPr>
          <w:p w14:paraId="408367FC" w14:textId="1061950F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60" w:type="dxa"/>
            <w:vAlign w:val="center"/>
          </w:tcPr>
          <w:p w14:paraId="0C38FEF3" w14:textId="0AA029A8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30" w:type="dxa"/>
            <w:vAlign w:val="center"/>
          </w:tcPr>
          <w:p w14:paraId="01995FF0" w14:textId="3D6AD744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</w:p>
        </w:tc>
      </w:tr>
      <w:tr w:rsidR="000D0E0B" w14:paraId="01FB7D75" w14:textId="77777777" w:rsidTr="000D0E0B">
        <w:trPr>
          <w:trHeight w:val="350"/>
        </w:trPr>
        <w:tc>
          <w:tcPr>
            <w:tcW w:w="1858" w:type="dxa"/>
          </w:tcPr>
          <w:p w14:paraId="0FE143FD" w14:textId="77777777" w:rsidR="000D0E0B" w:rsidRPr="00D82395" w:rsidRDefault="000D0E0B" w:rsidP="000D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Transaction fees</w:t>
            </w:r>
          </w:p>
        </w:tc>
        <w:tc>
          <w:tcPr>
            <w:tcW w:w="1292" w:type="dxa"/>
            <w:vAlign w:val="center"/>
          </w:tcPr>
          <w:p w14:paraId="4FFA0791" w14:textId="46D11F40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506" w:type="dxa"/>
            <w:vAlign w:val="center"/>
          </w:tcPr>
          <w:p w14:paraId="46012A87" w14:textId="5FA8A208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  <w:r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*</w:t>
            </w:r>
          </w:p>
        </w:tc>
        <w:tc>
          <w:tcPr>
            <w:tcW w:w="1274" w:type="dxa"/>
            <w:vAlign w:val="center"/>
          </w:tcPr>
          <w:p w14:paraId="35C9699D" w14:textId="635CE731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80" w:type="dxa"/>
            <w:vAlign w:val="center"/>
          </w:tcPr>
          <w:p w14:paraId="0AE58D72" w14:textId="7E1E3E47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60" w:type="dxa"/>
            <w:vAlign w:val="center"/>
          </w:tcPr>
          <w:p w14:paraId="237006FD" w14:textId="6948372E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30" w:type="dxa"/>
            <w:vAlign w:val="center"/>
          </w:tcPr>
          <w:p w14:paraId="1BC8D0B5" w14:textId="1279D6A0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493F"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$0</w:t>
            </w:r>
            <w:r>
              <w:rPr>
                <w:rFonts w:ascii="Arial" w:hAnsi="Arial" w:cs="Arial"/>
                <w:b/>
                <w:bCs/>
                <w:color w:val="4E9D45"/>
                <w:sz w:val="24"/>
                <w:szCs w:val="24"/>
              </w:rPr>
              <w:t>*</w:t>
            </w:r>
          </w:p>
        </w:tc>
      </w:tr>
      <w:tr w:rsidR="000D0E0B" w14:paraId="15A9154A" w14:textId="77777777" w:rsidTr="000D0E0B">
        <w:trPr>
          <w:trHeight w:val="350"/>
        </w:trPr>
        <w:tc>
          <w:tcPr>
            <w:tcW w:w="1858" w:type="dxa"/>
          </w:tcPr>
          <w:p w14:paraId="2808B2D8" w14:textId="77777777" w:rsidR="000D0E0B" w:rsidRPr="00D82395" w:rsidRDefault="000D0E0B" w:rsidP="000D0E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(Describe)</w:t>
            </w:r>
          </w:p>
        </w:tc>
        <w:tc>
          <w:tcPr>
            <w:tcW w:w="1292" w:type="dxa"/>
            <w:vAlign w:val="center"/>
          </w:tcPr>
          <w:p w14:paraId="70C1CAEE" w14:textId="672B75B7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2506" w:type="dxa"/>
            <w:vAlign w:val="center"/>
          </w:tcPr>
          <w:p w14:paraId="094FD329" w14:textId="77777777" w:rsidR="000D0E0B" w:rsidRPr="00E004CB" w:rsidRDefault="000D0E0B" w:rsidP="000D0E0B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color w:val="4E9D45"/>
              </w:rPr>
              <w:t>$1</w:t>
            </w:r>
            <w:r w:rsidRPr="006A4761">
              <w:rPr>
                <w:rFonts w:ascii="Arial" w:hAnsi="Arial" w:cs="Arial"/>
                <w:color w:val="4E9D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4E9D45"/>
                <w:sz w:val="28"/>
                <w:szCs w:val="28"/>
              </w:rPr>
              <w:br/>
            </w:r>
            <w:r w:rsidRPr="00E004CB">
              <w:rPr>
                <w:rFonts w:ascii="Arial" w:hAnsi="Arial" w:cs="Arial"/>
                <w:sz w:val="20"/>
                <w:szCs w:val="20"/>
              </w:rPr>
              <w:t>per inactive participant*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004CB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  <w:p w14:paraId="559301B9" w14:textId="56649207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Applies to FICA Alternative Plan ONLY. </w:t>
            </w:r>
            <w:r w:rsidRPr="00E004CB">
              <w:rPr>
                <w:rFonts w:ascii="Arial" w:hAnsi="Arial" w:cs="Arial"/>
                <w:i/>
                <w:iCs/>
                <w:sz w:val="18"/>
                <w:szCs w:val="18"/>
              </w:rPr>
              <w:t>Fee is deducted directly from the participant account and applies if participants are eligible to take full distributions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4" w:type="dxa"/>
            <w:vAlign w:val="center"/>
          </w:tcPr>
          <w:p w14:paraId="03B5FA64" w14:textId="6B42F0FB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080" w:type="dxa"/>
            <w:vAlign w:val="center"/>
          </w:tcPr>
          <w:p w14:paraId="77537C2E" w14:textId="0223B03E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260" w:type="dxa"/>
            <w:vAlign w:val="center"/>
          </w:tcPr>
          <w:p w14:paraId="58CFF735" w14:textId="2E2CF319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sz w:val="18"/>
                <w:szCs w:val="18"/>
              </w:rPr>
              <w:t>Not Applicable</w:t>
            </w:r>
          </w:p>
        </w:tc>
        <w:tc>
          <w:tcPr>
            <w:tcW w:w="1530" w:type="dxa"/>
            <w:vAlign w:val="center"/>
          </w:tcPr>
          <w:p w14:paraId="0D76BEE2" w14:textId="77777777" w:rsidR="000D0E0B" w:rsidRPr="00E004CB" w:rsidRDefault="000D0E0B" w:rsidP="000D0E0B">
            <w:pPr>
              <w:pStyle w:val="BodyText"/>
              <w:spacing w:after="120"/>
              <w:ind w:right="1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4CB">
              <w:rPr>
                <w:rFonts w:ascii="Arial" w:hAnsi="Arial" w:cs="Arial"/>
                <w:color w:val="4E9D45"/>
              </w:rPr>
              <w:t>$1</w:t>
            </w:r>
            <w:r w:rsidRPr="006A4761">
              <w:rPr>
                <w:rFonts w:ascii="Arial" w:hAnsi="Arial" w:cs="Arial"/>
                <w:color w:val="4E9D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4E9D45"/>
                <w:sz w:val="28"/>
                <w:szCs w:val="28"/>
              </w:rPr>
              <w:br/>
            </w:r>
            <w:r w:rsidRPr="00E004CB">
              <w:rPr>
                <w:rFonts w:ascii="Arial" w:hAnsi="Arial" w:cs="Arial"/>
                <w:sz w:val="20"/>
                <w:szCs w:val="20"/>
              </w:rPr>
              <w:t>per inactive participant*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004CB">
              <w:rPr>
                <w:rFonts w:ascii="Arial" w:hAnsi="Arial" w:cs="Arial"/>
                <w:sz w:val="20"/>
                <w:szCs w:val="20"/>
              </w:rPr>
              <w:t xml:space="preserve"> per month</w:t>
            </w:r>
          </w:p>
          <w:p w14:paraId="3D4B87E4" w14:textId="1F85A272" w:rsidR="000D0E0B" w:rsidRPr="00CB7157" w:rsidRDefault="000D0E0B" w:rsidP="000D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Applies to FICA Alternative Plan ONLY. </w:t>
            </w:r>
          </w:p>
        </w:tc>
      </w:tr>
    </w:tbl>
    <w:p w14:paraId="1F70EDEF" w14:textId="77777777" w:rsidR="000D0E0B" w:rsidRDefault="000D0E0B" w:rsidP="000D0E0B">
      <w:pPr>
        <w:spacing w:after="120" w:line="240" w:lineRule="auto"/>
        <w:jc w:val="both"/>
        <w:rPr>
          <w:rFonts w:ascii="Arial" w:hAnsi="Arial" w:cs="Arial"/>
          <w:i/>
          <w:iCs/>
          <w:color w:val="404040" w:themeColor="text1" w:themeTint="BF"/>
          <w:sz w:val="18"/>
          <w:szCs w:val="18"/>
        </w:rPr>
      </w:pPr>
      <w:r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*There are no fees charged for processing of QDROs, loans, or transfers, or for compliance services.</w:t>
      </w:r>
    </w:p>
    <w:p w14:paraId="4A64BE1E" w14:textId="77777777" w:rsidR="000D0E0B" w:rsidRPr="00E004CB" w:rsidRDefault="000D0E0B" w:rsidP="000D0E0B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E004CB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*</w:t>
      </w:r>
      <w:r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*</w:t>
      </w:r>
      <w:r w:rsidRPr="00E004CB">
        <w:rPr>
          <w:rFonts w:ascii="Arial" w:hAnsi="Arial" w:cs="Arial"/>
          <w:i/>
          <w:iCs/>
          <w:color w:val="404040" w:themeColor="text1" w:themeTint="BF"/>
          <w:sz w:val="18"/>
          <w:szCs w:val="18"/>
        </w:rPr>
        <w:t>An inactive participant is defined by MidAmerica as one who has not received a contribution to the plan for a period of twelve (12) months or more and is eligible for a distribution. The inactivity fee can be avoided if the participant elects to cash out their accumulated funds or roll them over to another qualified plan.</w:t>
      </w:r>
    </w:p>
    <w:p w14:paraId="7E591EEF" w14:textId="6341CCF5" w:rsidR="00473F6D" w:rsidRPr="00E74B77" w:rsidRDefault="00473F6D" w:rsidP="00473F6D">
      <w:pPr>
        <w:jc w:val="both"/>
        <w:rPr>
          <w:rFonts w:ascii="Arial" w:hAnsi="Arial" w:cs="Arial"/>
          <w:u w:val="single"/>
        </w:rPr>
      </w:pPr>
      <w:r w:rsidRPr="00E74B77">
        <w:rPr>
          <w:rFonts w:ascii="Arial" w:hAnsi="Arial" w:cs="Arial"/>
          <w:b/>
          <w:bCs/>
          <w:u w:val="single"/>
        </w:rPr>
        <w:t>Investment Management</w:t>
      </w:r>
    </w:p>
    <w:tbl>
      <w:tblPr>
        <w:tblStyle w:val="TableGrid"/>
        <w:tblpPr w:leftFromText="180" w:rightFromText="180" w:vertAnchor="text" w:horzAnchor="margin" w:tblpXSpec="center" w:tblpY="188"/>
        <w:tblW w:w="10620" w:type="dxa"/>
        <w:tblLook w:val="04A0" w:firstRow="1" w:lastRow="0" w:firstColumn="1" w:lastColumn="0" w:noHBand="0" w:noVBand="1"/>
      </w:tblPr>
      <w:tblGrid>
        <w:gridCol w:w="2970"/>
        <w:gridCol w:w="7650"/>
      </w:tblGrid>
      <w:tr w:rsidR="00E74B77" w14:paraId="22A49360" w14:textId="77777777" w:rsidTr="00E74B77">
        <w:tc>
          <w:tcPr>
            <w:tcW w:w="2970" w:type="dxa"/>
            <w:vAlign w:val="center"/>
          </w:tcPr>
          <w:p w14:paraId="660AB057" w14:textId="77777777" w:rsidR="00E74B77" w:rsidRPr="00323BA1" w:rsidRDefault="00E74B77" w:rsidP="00E74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A1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7650" w:type="dxa"/>
            <w:vAlign w:val="center"/>
          </w:tcPr>
          <w:p w14:paraId="431BF576" w14:textId="77777777" w:rsidR="00E74B77" w:rsidRPr="00323BA1" w:rsidRDefault="00E74B77" w:rsidP="00E74B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3BA1">
              <w:rPr>
                <w:rFonts w:ascii="Arial" w:hAnsi="Arial" w:cs="Arial"/>
                <w:b/>
                <w:bCs/>
                <w:sz w:val="20"/>
                <w:szCs w:val="20"/>
              </w:rPr>
              <w:t>Charges</w:t>
            </w:r>
          </w:p>
        </w:tc>
      </w:tr>
      <w:tr w:rsidR="00E74B77" w14:paraId="349CBE4B" w14:textId="77777777" w:rsidTr="00E74B77">
        <w:tc>
          <w:tcPr>
            <w:tcW w:w="2970" w:type="dxa"/>
          </w:tcPr>
          <w:p w14:paraId="1EB685BF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Deposit Charge</w:t>
            </w:r>
          </w:p>
        </w:tc>
        <w:tc>
          <w:tcPr>
            <w:tcW w:w="7650" w:type="dxa"/>
          </w:tcPr>
          <w:p w14:paraId="5B35A8E2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</w:tr>
      <w:tr w:rsidR="00E74B77" w14:paraId="0A455EED" w14:textId="77777777" w:rsidTr="00E74B77">
        <w:tc>
          <w:tcPr>
            <w:tcW w:w="2970" w:type="dxa"/>
          </w:tcPr>
          <w:p w14:paraId="7C3D1510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Asset Charge</w:t>
            </w:r>
          </w:p>
        </w:tc>
        <w:tc>
          <w:tcPr>
            <w:tcW w:w="7650" w:type="dxa"/>
          </w:tcPr>
          <w:p w14:paraId="4E5E1480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.50% on variable assets and 0% on fixed assets</w:t>
            </w:r>
          </w:p>
        </w:tc>
      </w:tr>
      <w:tr w:rsidR="00E74B77" w14:paraId="5ECE6395" w14:textId="77777777" w:rsidTr="00E74B77">
        <w:tc>
          <w:tcPr>
            <w:tcW w:w="2970" w:type="dxa"/>
          </w:tcPr>
          <w:p w14:paraId="22575735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Withdrawal Penalty</w:t>
            </w:r>
          </w:p>
        </w:tc>
        <w:tc>
          <w:tcPr>
            <w:tcW w:w="7650" w:type="dxa"/>
          </w:tcPr>
          <w:p w14:paraId="0BB94D12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Six (6) installments over five (5) years. Or, if desired, we can discuss adding a market value adjustment to the fixed account. There are no withdrawal penalties or withdrawal restrictions for variable funds.</w:t>
            </w:r>
          </w:p>
        </w:tc>
      </w:tr>
      <w:tr w:rsidR="00E74B77" w14:paraId="33EB530C" w14:textId="77777777" w:rsidTr="00E74B77">
        <w:tc>
          <w:tcPr>
            <w:tcW w:w="2970" w:type="dxa"/>
          </w:tcPr>
          <w:p w14:paraId="2ECF463D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3BA1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650" w:type="dxa"/>
          </w:tcPr>
          <w:p w14:paraId="60C65658" w14:textId="77777777" w:rsidR="00E74B77" w:rsidRPr="00323BA1" w:rsidRDefault="00E74B77" w:rsidP="00E74B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Not applicable, unless one of the specialty investment management products is instituted. In each case, we would pass through the cost.</w:t>
            </w:r>
          </w:p>
        </w:tc>
      </w:tr>
    </w:tbl>
    <w:p w14:paraId="52D868A5" w14:textId="53A29A80" w:rsidR="00E74B77" w:rsidRDefault="00E74B77" w:rsidP="00E74B77">
      <w:pPr>
        <w:spacing w:after="120" w:line="240" w:lineRule="auto"/>
        <w:jc w:val="both"/>
        <w:rPr>
          <w:rFonts w:ascii="Arial" w:hAnsi="Arial" w:cs="Arial"/>
        </w:rPr>
      </w:pPr>
    </w:p>
    <w:p w14:paraId="5748FF3C" w14:textId="22C5346C" w:rsidR="00E74B77" w:rsidRDefault="00E74B77" w:rsidP="00AD71F0">
      <w:pPr>
        <w:spacing w:after="240" w:line="240" w:lineRule="auto"/>
        <w:ind w:left="3542" w:right="720" w:hanging="2822"/>
        <w:jc w:val="center"/>
        <w:rPr>
          <w:rFonts w:ascii="Arial" w:hAnsi="Arial" w:cs="Arial"/>
          <w:b/>
          <w:sz w:val="24"/>
          <w:u w:val="single"/>
        </w:rPr>
      </w:pPr>
      <w:r w:rsidRPr="00E74B77">
        <w:rPr>
          <w:rFonts w:ascii="Arial" w:hAnsi="Arial" w:cs="Arial"/>
          <w:b/>
          <w:sz w:val="24"/>
          <w:u w:val="single"/>
        </w:rPr>
        <w:lastRenderedPageBreak/>
        <w:t>PERFORMANCE STANDARD GUARANTEES</w:t>
      </w:r>
    </w:p>
    <w:p w14:paraId="0278DBC5" w14:textId="14332FF0" w:rsidR="00AD71F0" w:rsidRPr="00AD71F0" w:rsidRDefault="00AD71F0" w:rsidP="00AD71F0">
      <w:pPr>
        <w:spacing w:after="120" w:line="240" w:lineRule="auto"/>
        <w:ind w:left="720" w:right="720"/>
        <w:jc w:val="both"/>
        <w:rPr>
          <w:rFonts w:ascii="Arial" w:hAnsi="Arial" w:cs="Arial"/>
          <w:b/>
          <w:color w:val="595959"/>
          <w:sz w:val="24"/>
        </w:rPr>
      </w:pPr>
      <w:r w:rsidRPr="00AD71F0">
        <w:rPr>
          <w:rFonts w:ascii="Arial" w:hAnsi="Arial" w:cs="Arial"/>
          <w:color w:val="595959"/>
        </w:rPr>
        <w:t>MidAmerica is</w:t>
      </w:r>
      <w:r>
        <w:rPr>
          <w:rFonts w:ascii="Arial" w:hAnsi="Arial" w:cs="Arial"/>
          <w:color w:val="595959"/>
        </w:rPr>
        <w:t xml:space="preserve"> open to discussing the establishment of mutually agreed upon service standards. Below we have identified our </w:t>
      </w:r>
      <w:proofErr w:type="gramStart"/>
      <w:r>
        <w:rPr>
          <w:rFonts w:ascii="Arial" w:hAnsi="Arial" w:cs="Arial"/>
          <w:color w:val="595959"/>
        </w:rPr>
        <w:t>most commonly requested</w:t>
      </w:r>
      <w:proofErr w:type="gramEnd"/>
      <w:r>
        <w:rPr>
          <w:rFonts w:ascii="Arial" w:hAnsi="Arial" w:cs="Arial"/>
          <w:color w:val="595959"/>
        </w:rPr>
        <w:t xml:space="preserve"> performance standards and the fees we are willing to place at risk.</w:t>
      </w:r>
      <w:r w:rsidRPr="00AD71F0">
        <w:rPr>
          <w:rFonts w:ascii="Arial" w:hAnsi="Arial" w:cs="Arial"/>
          <w:color w:val="595959"/>
        </w:rPr>
        <w:t xml:space="preserve"> </w:t>
      </w:r>
    </w:p>
    <w:p w14:paraId="26749743" w14:textId="77777777" w:rsidR="00E74B77" w:rsidRPr="00E74B77" w:rsidRDefault="00E74B77" w:rsidP="00E74B77">
      <w:pPr>
        <w:pStyle w:val="BodyText"/>
        <w:spacing w:before="3"/>
        <w:rPr>
          <w:rFonts w:ascii="Arial" w:hAnsi="Arial" w:cs="Arial"/>
          <w:b w:val="0"/>
          <w:sz w:val="15"/>
        </w:rPr>
      </w:pPr>
    </w:p>
    <w:p w14:paraId="61DB9F7C" w14:textId="77777777" w:rsidR="00E74B77" w:rsidRPr="00E74B77" w:rsidRDefault="00E74B77" w:rsidP="00E74B77">
      <w:pPr>
        <w:pStyle w:val="BodyText"/>
        <w:rPr>
          <w:rFonts w:ascii="Arial" w:hAnsi="Arial" w:cs="Arial"/>
        </w:rPr>
      </w:pPr>
    </w:p>
    <w:tbl>
      <w:tblPr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153"/>
      </w:tblGrid>
      <w:tr w:rsidR="00E74B77" w:rsidRPr="00E74B77" w14:paraId="547D2D2A" w14:textId="77777777" w:rsidTr="00E74B77">
        <w:trPr>
          <w:trHeight w:val="758"/>
        </w:trPr>
        <w:tc>
          <w:tcPr>
            <w:tcW w:w="5400" w:type="dxa"/>
          </w:tcPr>
          <w:p w14:paraId="41823016" w14:textId="77777777" w:rsidR="00E74B77" w:rsidRPr="00E74B77" w:rsidRDefault="00E74B77" w:rsidP="00DF5F4D">
            <w:pPr>
              <w:pStyle w:val="TableParagraph"/>
              <w:rPr>
                <w:rFonts w:ascii="Arial" w:hAnsi="Arial" w:cs="Arial"/>
                <w:sz w:val="24"/>
              </w:rPr>
            </w:pPr>
          </w:p>
          <w:p w14:paraId="3A7BA63E" w14:textId="77777777" w:rsidR="00E74B77" w:rsidRPr="00E74B77" w:rsidRDefault="00E74B77" w:rsidP="00DF5F4D">
            <w:pPr>
              <w:pStyle w:val="TableParagraph"/>
              <w:spacing w:before="11"/>
              <w:rPr>
                <w:rFonts w:ascii="Arial" w:hAnsi="Arial" w:cs="Arial"/>
                <w:sz w:val="19"/>
              </w:rPr>
            </w:pPr>
          </w:p>
          <w:p w14:paraId="34A561BB" w14:textId="77777777" w:rsidR="00E74B77" w:rsidRPr="00E74B77" w:rsidRDefault="00E74B77" w:rsidP="00DF5F4D">
            <w:pPr>
              <w:pStyle w:val="TableParagraph"/>
              <w:spacing w:line="234" w:lineRule="exact"/>
              <w:ind w:left="1210"/>
              <w:rPr>
                <w:rFonts w:ascii="Arial" w:hAnsi="Arial" w:cs="Arial"/>
                <w:b/>
              </w:rPr>
            </w:pPr>
            <w:r w:rsidRPr="00E74B77">
              <w:rPr>
                <w:rFonts w:ascii="Arial" w:hAnsi="Arial" w:cs="Arial"/>
                <w:b/>
              </w:rPr>
              <w:t>Performance Standard Guarantees</w:t>
            </w:r>
          </w:p>
        </w:tc>
        <w:tc>
          <w:tcPr>
            <w:tcW w:w="2153" w:type="dxa"/>
          </w:tcPr>
          <w:p w14:paraId="47A3082B" w14:textId="77777777" w:rsidR="00E74B77" w:rsidRPr="00E74B77" w:rsidRDefault="00E74B77" w:rsidP="00DF5F4D">
            <w:pPr>
              <w:pStyle w:val="TableParagraph"/>
              <w:spacing w:before="5" w:line="252" w:lineRule="exact"/>
              <w:ind w:left="517" w:right="505" w:firstLine="4"/>
              <w:jc w:val="both"/>
              <w:rPr>
                <w:rFonts w:ascii="Arial" w:hAnsi="Arial" w:cs="Arial"/>
                <w:b/>
              </w:rPr>
            </w:pPr>
            <w:r w:rsidRPr="00E74B77">
              <w:rPr>
                <w:rFonts w:ascii="Arial" w:hAnsi="Arial" w:cs="Arial"/>
                <w:b/>
              </w:rPr>
              <w:t xml:space="preserve">Amount of </w:t>
            </w:r>
            <w:r w:rsidRPr="00E74B77">
              <w:rPr>
                <w:rFonts w:ascii="Arial" w:hAnsi="Arial" w:cs="Arial"/>
                <w:b/>
                <w:w w:val="95"/>
              </w:rPr>
              <w:t xml:space="preserve">Liquidated </w:t>
            </w:r>
            <w:r w:rsidRPr="00E74B77">
              <w:rPr>
                <w:rFonts w:ascii="Arial" w:hAnsi="Arial" w:cs="Arial"/>
                <w:b/>
              </w:rPr>
              <w:t>Damages</w:t>
            </w:r>
          </w:p>
        </w:tc>
      </w:tr>
      <w:tr w:rsidR="00E74B77" w:rsidRPr="00E74B77" w14:paraId="2A0B1BE0" w14:textId="77777777" w:rsidTr="00E74B77">
        <w:trPr>
          <w:trHeight w:val="252"/>
        </w:trPr>
        <w:tc>
          <w:tcPr>
            <w:tcW w:w="5400" w:type="dxa"/>
          </w:tcPr>
          <w:p w14:paraId="613A9267" w14:textId="77777777" w:rsidR="00E74B77" w:rsidRPr="00E74B77" w:rsidRDefault="00E74B77" w:rsidP="00DF5F4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b/>
              </w:rPr>
            </w:pPr>
            <w:r w:rsidRPr="00E74B77">
              <w:rPr>
                <w:rFonts w:ascii="Arial" w:hAnsi="Arial" w:cs="Arial"/>
                <w:b/>
              </w:rPr>
              <w:t>Claim Timeliness</w:t>
            </w:r>
          </w:p>
        </w:tc>
        <w:tc>
          <w:tcPr>
            <w:tcW w:w="2153" w:type="dxa"/>
          </w:tcPr>
          <w:p w14:paraId="1F0F53B5" w14:textId="77777777" w:rsidR="00E74B77" w:rsidRPr="00E74B77" w:rsidRDefault="00E74B77" w:rsidP="00DF5F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4B77" w:rsidRPr="00E74B77" w14:paraId="075BE1CC" w14:textId="77777777" w:rsidTr="00E74B77">
        <w:trPr>
          <w:trHeight w:val="1009"/>
        </w:trPr>
        <w:tc>
          <w:tcPr>
            <w:tcW w:w="5400" w:type="dxa"/>
          </w:tcPr>
          <w:p w14:paraId="0739210B" w14:textId="77777777" w:rsidR="00E74B77" w:rsidRPr="00E74B77" w:rsidRDefault="00E74B77" w:rsidP="00DF5F4D">
            <w:pPr>
              <w:pStyle w:val="TableParagraph"/>
              <w:ind w:left="107" w:right="96"/>
              <w:jc w:val="both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On average 90% of all request for payouts will be processed within</w:t>
            </w:r>
            <w:r w:rsidRPr="00E74B77">
              <w:rPr>
                <w:rFonts w:ascii="Arial" w:hAnsi="Arial" w:cs="Arial"/>
                <w:spacing w:val="-11"/>
              </w:rPr>
              <w:t xml:space="preserve"> three (</w:t>
            </w:r>
            <w:r w:rsidRPr="00E74B77">
              <w:rPr>
                <w:rFonts w:ascii="Arial" w:hAnsi="Arial" w:cs="Arial"/>
              </w:rPr>
              <w:t>3)</w:t>
            </w:r>
            <w:r w:rsidRPr="00E74B77">
              <w:rPr>
                <w:rFonts w:ascii="Arial" w:hAnsi="Arial" w:cs="Arial"/>
                <w:spacing w:val="-12"/>
              </w:rPr>
              <w:t xml:space="preserve"> </w:t>
            </w:r>
            <w:r w:rsidRPr="00E74B77">
              <w:rPr>
                <w:rFonts w:ascii="Arial" w:hAnsi="Arial" w:cs="Arial"/>
              </w:rPr>
              <w:t>calendar</w:t>
            </w:r>
            <w:r w:rsidRPr="00E74B77">
              <w:rPr>
                <w:rFonts w:ascii="Arial" w:hAnsi="Arial" w:cs="Arial"/>
                <w:spacing w:val="-11"/>
              </w:rPr>
              <w:t xml:space="preserve"> </w:t>
            </w:r>
            <w:r w:rsidRPr="00E74B77">
              <w:rPr>
                <w:rFonts w:ascii="Arial" w:hAnsi="Arial" w:cs="Arial"/>
              </w:rPr>
              <w:t>days.</w:t>
            </w:r>
            <w:r w:rsidRPr="00E74B77">
              <w:rPr>
                <w:rFonts w:ascii="Arial" w:hAnsi="Arial" w:cs="Arial"/>
                <w:spacing w:val="-12"/>
              </w:rPr>
              <w:t xml:space="preserve"> </w:t>
            </w:r>
            <w:r w:rsidRPr="00E74B77">
              <w:rPr>
                <w:rFonts w:ascii="Arial" w:hAnsi="Arial" w:cs="Arial"/>
              </w:rPr>
              <w:t>The</w:t>
            </w:r>
            <w:r w:rsidRPr="00E74B77">
              <w:rPr>
                <w:rFonts w:ascii="Arial" w:hAnsi="Arial" w:cs="Arial"/>
                <w:spacing w:val="-13"/>
              </w:rPr>
              <w:t xml:space="preserve"> </w:t>
            </w:r>
            <w:r w:rsidRPr="00E74B77">
              <w:rPr>
                <w:rFonts w:ascii="Arial" w:hAnsi="Arial" w:cs="Arial"/>
              </w:rPr>
              <w:t>turnaround</w:t>
            </w:r>
            <w:r w:rsidRPr="00E74B77">
              <w:rPr>
                <w:rFonts w:ascii="Arial" w:hAnsi="Arial" w:cs="Arial"/>
                <w:spacing w:val="-11"/>
              </w:rPr>
              <w:t xml:space="preserve"> </w:t>
            </w:r>
            <w:r w:rsidRPr="00E74B77">
              <w:rPr>
                <w:rFonts w:ascii="Arial" w:hAnsi="Arial" w:cs="Arial"/>
              </w:rPr>
              <w:t>time</w:t>
            </w:r>
            <w:r w:rsidRPr="00E74B77">
              <w:rPr>
                <w:rFonts w:ascii="Arial" w:hAnsi="Arial" w:cs="Arial"/>
                <w:spacing w:val="-12"/>
              </w:rPr>
              <w:t xml:space="preserve"> </w:t>
            </w:r>
            <w:r w:rsidRPr="00E74B77">
              <w:rPr>
                <w:rFonts w:ascii="Arial" w:hAnsi="Arial" w:cs="Arial"/>
              </w:rPr>
              <w:t>is</w:t>
            </w:r>
            <w:r w:rsidRPr="00E74B77">
              <w:rPr>
                <w:rFonts w:ascii="Arial" w:hAnsi="Arial" w:cs="Arial"/>
                <w:spacing w:val="-11"/>
              </w:rPr>
              <w:t xml:space="preserve"> </w:t>
            </w:r>
            <w:r w:rsidRPr="00E74B77">
              <w:rPr>
                <w:rFonts w:ascii="Arial" w:hAnsi="Arial" w:cs="Arial"/>
              </w:rPr>
              <w:t>calculated</w:t>
            </w:r>
            <w:r w:rsidRPr="00E74B77">
              <w:rPr>
                <w:rFonts w:ascii="Arial" w:hAnsi="Arial" w:cs="Arial"/>
                <w:spacing w:val="-13"/>
              </w:rPr>
              <w:t xml:space="preserve"> </w:t>
            </w:r>
            <w:r w:rsidRPr="00E74B77">
              <w:rPr>
                <w:rFonts w:ascii="Arial" w:hAnsi="Arial" w:cs="Arial"/>
              </w:rPr>
              <w:t>from</w:t>
            </w:r>
            <w:r w:rsidRPr="00E74B77">
              <w:rPr>
                <w:rFonts w:ascii="Arial" w:hAnsi="Arial" w:cs="Arial"/>
                <w:spacing w:val="-12"/>
              </w:rPr>
              <w:t xml:space="preserve"> </w:t>
            </w:r>
            <w:r w:rsidRPr="00E74B77">
              <w:rPr>
                <w:rFonts w:ascii="Arial" w:hAnsi="Arial" w:cs="Arial"/>
              </w:rPr>
              <w:t>the date</w:t>
            </w:r>
            <w:r w:rsidRPr="00E74B77">
              <w:rPr>
                <w:rFonts w:ascii="Arial" w:hAnsi="Arial" w:cs="Arial"/>
                <w:spacing w:val="29"/>
              </w:rPr>
              <w:t xml:space="preserve"> </w:t>
            </w:r>
            <w:r w:rsidRPr="00E74B77">
              <w:rPr>
                <w:rFonts w:ascii="Arial" w:hAnsi="Arial" w:cs="Arial"/>
              </w:rPr>
              <w:t>the</w:t>
            </w:r>
            <w:r w:rsidRPr="00E74B77">
              <w:rPr>
                <w:rFonts w:ascii="Arial" w:hAnsi="Arial" w:cs="Arial"/>
                <w:spacing w:val="30"/>
              </w:rPr>
              <w:t xml:space="preserve"> </w:t>
            </w:r>
            <w:r w:rsidRPr="00E74B77">
              <w:rPr>
                <w:rFonts w:ascii="Arial" w:hAnsi="Arial" w:cs="Arial"/>
              </w:rPr>
              <w:t>request</w:t>
            </w:r>
            <w:r w:rsidRPr="00E74B77">
              <w:rPr>
                <w:rFonts w:ascii="Arial" w:hAnsi="Arial" w:cs="Arial"/>
                <w:spacing w:val="31"/>
              </w:rPr>
              <w:t xml:space="preserve"> </w:t>
            </w:r>
            <w:r w:rsidRPr="00E74B77">
              <w:rPr>
                <w:rFonts w:ascii="Arial" w:hAnsi="Arial" w:cs="Arial"/>
              </w:rPr>
              <w:t>is</w:t>
            </w:r>
            <w:r w:rsidRPr="00E74B77">
              <w:rPr>
                <w:rFonts w:ascii="Arial" w:hAnsi="Arial" w:cs="Arial"/>
                <w:spacing w:val="30"/>
              </w:rPr>
              <w:t xml:space="preserve"> </w:t>
            </w:r>
            <w:r w:rsidRPr="00E74B77">
              <w:rPr>
                <w:rFonts w:ascii="Arial" w:hAnsi="Arial" w:cs="Arial"/>
              </w:rPr>
              <w:t>received</w:t>
            </w:r>
            <w:r w:rsidRPr="00E74B77">
              <w:rPr>
                <w:rFonts w:ascii="Arial" w:hAnsi="Arial" w:cs="Arial"/>
                <w:spacing w:val="30"/>
              </w:rPr>
              <w:t xml:space="preserve"> </w:t>
            </w:r>
            <w:r w:rsidRPr="00E74B77">
              <w:rPr>
                <w:rFonts w:ascii="Arial" w:hAnsi="Arial" w:cs="Arial"/>
              </w:rPr>
              <w:t>in</w:t>
            </w:r>
            <w:r w:rsidRPr="00E74B77">
              <w:rPr>
                <w:rFonts w:ascii="Arial" w:hAnsi="Arial" w:cs="Arial"/>
                <w:spacing w:val="29"/>
              </w:rPr>
              <w:t xml:space="preserve"> </w:t>
            </w:r>
            <w:r w:rsidRPr="00E74B77">
              <w:rPr>
                <w:rFonts w:ascii="Arial" w:hAnsi="Arial" w:cs="Arial"/>
              </w:rPr>
              <w:t>the</w:t>
            </w:r>
            <w:r w:rsidRPr="00E74B77">
              <w:rPr>
                <w:rFonts w:ascii="Arial" w:hAnsi="Arial" w:cs="Arial"/>
                <w:spacing w:val="29"/>
              </w:rPr>
              <w:t xml:space="preserve"> </w:t>
            </w:r>
            <w:r w:rsidRPr="00E74B77">
              <w:rPr>
                <w:rFonts w:ascii="Arial" w:hAnsi="Arial" w:cs="Arial"/>
              </w:rPr>
              <w:t>office</w:t>
            </w:r>
            <w:r w:rsidRPr="00E74B77">
              <w:rPr>
                <w:rFonts w:ascii="Arial" w:hAnsi="Arial" w:cs="Arial"/>
                <w:spacing w:val="30"/>
              </w:rPr>
              <w:t xml:space="preserve"> </w:t>
            </w:r>
            <w:r w:rsidRPr="00E74B77">
              <w:rPr>
                <w:rFonts w:ascii="Arial" w:hAnsi="Arial" w:cs="Arial"/>
              </w:rPr>
              <w:t>to</w:t>
            </w:r>
            <w:r w:rsidRPr="00E74B77">
              <w:rPr>
                <w:rFonts w:ascii="Arial" w:hAnsi="Arial" w:cs="Arial"/>
                <w:spacing w:val="31"/>
              </w:rPr>
              <w:t xml:space="preserve"> </w:t>
            </w:r>
            <w:r w:rsidRPr="00E74B77">
              <w:rPr>
                <w:rFonts w:ascii="Arial" w:hAnsi="Arial" w:cs="Arial"/>
              </w:rPr>
              <w:t>the</w:t>
            </w:r>
            <w:r w:rsidRPr="00E74B77">
              <w:rPr>
                <w:rFonts w:ascii="Arial" w:hAnsi="Arial" w:cs="Arial"/>
                <w:spacing w:val="29"/>
              </w:rPr>
              <w:t xml:space="preserve"> </w:t>
            </w:r>
            <w:r w:rsidRPr="00E74B77">
              <w:rPr>
                <w:rFonts w:ascii="Arial" w:hAnsi="Arial" w:cs="Arial"/>
              </w:rPr>
              <w:t>date</w:t>
            </w:r>
            <w:r w:rsidRPr="00E74B77">
              <w:rPr>
                <w:rFonts w:ascii="Arial" w:hAnsi="Arial" w:cs="Arial"/>
                <w:spacing w:val="29"/>
              </w:rPr>
              <w:t xml:space="preserve"> </w:t>
            </w:r>
            <w:r w:rsidRPr="00E74B77">
              <w:rPr>
                <w:rFonts w:ascii="Arial" w:hAnsi="Arial" w:cs="Arial"/>
              </w:rPr>
              <w:t>that</w:t>
            </w:r>
            <w:r w:rsidRPr="00E74B77">
              <w:rPr>
                <w:rFonts w:ascii="Arial" w:hAnsi="Arial" w:cs="Arial"/>
                <w:spacing w:val="32"/>
              </w:rPr>
              <w:t xml:space="preserve"> </w:t>
            </w:r>
            <w:r w:rsidRPr="00E74B77">
              <w:rPr>
                <w:rFonts w:ascii="Arial" w:hAnsi="Arial" w:cs="Arial"/>
              </w:rPr>
              <w:t>it</w:t>
            </w:r>
            <w:r w:rsidRPr="00E74B77">
              <w:rPr>
                <w:rFonts w:ascii="Arial" w:hAnsi="Arial" w:cs="Arial"/>
                <w:spacing w:val="30"/>
              </w:rPr>
              <w:t xml:space="preserve"> </w:t>
            </w:r>
            <w:r w:rsidRPr="00E74B77">
              <w:rPr>
                <w:rFonts w:ascii="Arial" w:hAnsi="Arial" w:cs="Arial"/>
              </w:rPr>
              <w:t>is processed.</w:t>
            </w:r>
          </w:p>
        </w:tc>
        <w:tc>
          <w:tcPr>
            <w:tcW w:w="2153" w:type="dxa"/>
            <w:vAlign w:val="center"/>
          </w:tcPr>
          <w:p w14:paraId="35B54D1B" w14:textId="77777777" w:rsidR="00E74B77" w:rsidRPr="00E74B77" w:rsidRDefault="00E74B77" w:rsidP="00E74B77">
            <w:pPr>
              <w:pStyle w:val="TableParagraph"/>
              <w:spacing w:line="251" w:lineRule="exact"/>
              <w:ind w:right="685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$2,000</w:t>
            </w:r>
          </w:p>
        </w:tc>
      </w:tr>
      <w:tr w:rsidR="00E74B77" w:rsidRPr="00E74B77" w14:paraId="16416D70" w14:textId="77777777" w:rsidTr="00E74B77">
        <w:trPr>
          <w:trHeight w:val="252"/>
        </w:trPr>
        <w:tc>
          <w:tcPr>
            <w:tcW w:w="5400" w:type="dxa"/>
          </w:tcPr>
          <w:p w14:paraId="6AF2128B" w14:textId="77777777" w:rsidR="00E74B77" w:rsidRPr="00E74B77" w:rsidRDefault="00E74B77" w:rsidP="00DF5F4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b/>
              </w:rPr>
            </w:pPr>
            <w:r w:rsidRPr="00E74B77">
              <w:rPr>
                <w:rFonts w:ascii="Arial" w:hAnsi="Arial" w:cs="Arial"/>
                <w:b/>
              </w:rPr>
              <w:t>Claim Inquiries/Complaints</w:t>
            </w:r>
          </w:p>
        </w:tc>
        <w:tc>
          <w:tcPr>
            <w:tcW w:w="2153" w:type="dxa"/>
          </w:tcPr>
          <w:p w14:paraId="63BE4A9E" w14:textId="77777777" w:rsidR="00E74B77" w:rsidRPr="00E74B77" w:rsidRDefault="00E74B77" w:rsidP="00DF5F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4B77" w:rsidRPr="00E74B77" w14:paraId="31A47D26" w14:textId="77777777" w:rsidTr="00E74B77">
        <w:trPr>
          <w:trHeight w:val="1262"/>
        </w:trPr>
        <w:tc>
          <w:tcPr>
            <w:tcW w:w="5400" w:type="dxa"/>
          </w:tcPr>
          <w:p w14:paraId="67101396" w14:textId="77777777" w:rsidR="00E74B77" w:rsidRPr="00E74B77" w:rsidRDefault="00E74B77" w:rsidP="00DF5F4D">
            <w:pPr>
              <w:pStyle w:val="TableParagraph"/>
              <w:ind w:left="107" w:right="96"/>
              <w:jc w:val="both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All written inquiries or complaints, and other contacts with MidAmerica</w:t>
            </w:r>
            <w:r w:rsidRPr="00E74B77">
              <w:rPr>
                <w:rFonts w:ascii="Arial" w:hAnsi="Arial" w:cs="Arial"/>
                <w:spacing w:val="-11"/>
              </w:rPr>
              <w:t xml:space="preserve"> </w:t>
            </w:r>
            <w:r w:rsidRPr="00E74B77">
              <w:rPr>
                <w:rFonts w:ascii="Arial" w:hAnsi="Arial" w:cs="Arial"/>
              </w:rPr>
              <w:t>by</w:t>
            </w:r>
            <w:r w:rsidRPr="00E74B77">
              <w:rPr>
                <w:rFonts w:ascii="Arial" w:hAnsi="Arial" w:cs="Arial"/>
                <w:spacing w:val="-9"/>
              </w:rPr>
              <w:t xml:space="preserve"> </w:t>
            </w:r>
            <w:r w:rsidRPr="00E74B77">
              <w:rPr>
                <w:rFonts w:ascii="Arial" w:hAnsi="Arial" w:cs="Arial"/>
              </w:rPr>
              <w:t>the</w:t>
            </w:r>
            <w:r w:rsidRPr="00E74B77">
              <w:rPr>
                <w:rFonts w:ascii="Arial" w:hAnsi="Arial" w:cs="Arial"/>
                <w:spacing w:val="-10"/>
              </w:rPr>
              <w:t xml:space="preserve"> UF </w:t>
            </w:r>
            <w:r w:rsidRPr="00E74B77">
              <w:rPr>
                <w:rFonts w:ascii="Arial" w:hAnsi="Arial" w:cs="Arial"/>
              </w:rPr>
              <w:t>Benefits</w:t>
            </w:r>
            <w:r w:rsidRPr="00E74B77">
              <w:rPr>
                <w:rFonts w:ascii="Arial" w:hAnsi="Arial" w:cs="Arial"/>
                <w:spacing w:val="-8"/>
              </w:rPr>
              <w:t xml:space="preserve"> </w:t>
            </w:r>
            <w:r w:rsidRPr="00E74B77">
              <w:rPr>
                <w:rFonts w:ascii="Arial" w:hAnsi="Arial" w:cs="Arial"/>
              </w:rPr>
              <w:t>Department,</w:t>
            </w:r>
            <w:r w:rsidRPr="00E74B77">
              <w:rPr>
                <w:rFonts w:ascii="Arial" w:hAnsi="Arial" w:cs="Arial"/>
                <w:spacing w:val="-10"/>
              </w:rPr>
              <w:t xml:space="preserve"> </w:t>
            </w:r>
            <w:r w:rsidRPr="00E74B77">
              <w:rPr>
                <w:rFonts w:ascii="Arial" w:hAnsi="Arial" w:cs="Arial"/>
              </w:rPr>
              <w:t>the</w:t>
            </w:r>
            <w:r w:rsidRPr="00E74B77">
              <w:rPr>
                <w:rFonts w:ascii="Arial" w:hAnsi="Arial" w:cs="Arial"/>
                <w:spacing w:val="-10"/>
              </w:rPr>
              <w:t xml:space="preserve"> UF </w:t>
            </w:r>
            <w:r w:rsidRPr="00E74B77">
              <w:rPr>
                <w:rFonts w:ascii="Arial" w:hAnsi="Arial" w:cs="Arial"/>
              </w:rPr>
              <w:t>Payroll</w:t>
            </w:r>
            <w:r w:rsidRPr="00E74B77">
              <w:rPr>
                <w:rFonts w:ascii="Arial" w:hAnsi="Arial" w:cs="Arial"/>
                <w:spacing w:val="-8"/>
              </w:rPr>
              <w:t xml:space="preserve"> </w:t>
            </w:r>
            <w:r w:rsidRPr="00E74B77">
              <w:rPr>
                <w:rFonts w:ascii="Arial" w:hAnsi="Arial" w:cs="Arial"/>
              </w:rPr>
              <w:t>Deduction</w:t>
            </w:r>
            <w:r w:rsidRPr="00E74B77">
              <w:rPr>
                <w:rFonts w:ascii="Arial" w:hAnsi="Arial" w:cs="Arial"/>
                <w:spacing w:val="-10"/>
              </w:rPr>
              <w:t xml:space="preserve"> </w:t>
            </w:r>
            <w:r w:rsidRPr="00E74B77">
              <w:rPr>
                <w:rFonts w:ascii="Arial" w:hAnsi="Arial" w:cs="Arial"/>
              </w:rPr>
              <w:t>Unit,</w:t>
            </w:r>
            <w:r w:rsidRPr="00E74B77">
              <w:rPr>
                <w:rFonts w:ascii="Arial" w:hAnsi="Arial" w:cs="Arial"/>
                <w:spacing w:val="-9"/>
              </w:rPr>
              <w:t xml:space="preserve"> </w:t>
            </w:r>
            <w:r w:rsidRPr="00E74B77">
              <w:rPr>
                <w:rFonts w:ascii="Arial" w:hAnsi="Arial" w:cs="Arial"/>
              </w:rPr>
              <w:t>or UF employees and their covered dependents must have</w:t>
            </w:r>
            <w:r w:rsidRPr="00E74B77">
              <w:rPr>
                <w:rFonts w:ascii="Arial" w:hAnsi="Arial" w:cs="Arial"/>
                <w:spacing w:val="16"/>
              </w:rPr>
              <w:t xml:space="preserve"> </w:t>
            </w:r>
            <w:r w:rsidRPr="00E74B77">
              <w:rPr>
                <w:rFonts w:ascii="Arial" w:hAnsi="Arial" w:cs="Arial"/>
              </w:rPr>
              <w:t>a written response within ten (10) calendar days of receipt by MidAmerica.</w:t>
            </w:r>
          </w:p>
        </w:tc>
        <w:tc>
          <w:tcPr>
            <w:tcW w:w="2153" w:type="dxa"/>
            <w:vAlign w:val="center"/>
          </w:tcPr>
          <w:p w14:paraId="6ECC60A5" w14:textId="77777777" w:rsidR="00E74B77" w:rsidRPr="00E74B77" w:rsidRDefault="00E74B77" w:rsidP="00E74B77">
            <w:pPr>
              <w:pStyle w:val="TableParagraph"/>
              <w:ind w:left="146" w:right="134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$100 per occurrence per day beyond, as outlined</w:t>
            </w:r>
          </w:p>
        </w:tc>
      </w:tr>
      <w:tr w:rsidR="00E74B77" w:rsidRPr="00E74B77" w14:paraId="32F2E7DA" w14:textId="77777777" w:rsidTr="00E74B77">
        <w:trPr>
          <w:trHeight w:val="249"/>
        </w:trPr>
        <w:tc>
          <w:tcPr>
            <w:tcW w:w="5400" w:type="dxa"/>
          </w:tcPr>
          <w:p w14:paraId="0E61E12A" w14:textId="77777777" w:rsidR="00E74B77" w:rsidRPr="00E74B77" w:rsidRDefault="00E74B77" w:rsidP="00DF5F4D">
            <w:pPr>
              <w:pStyle w:val="TableParagraph"/>
              <w:spacing w:line="229" w:lineRule="exact"/>
              <w:ind w:left="107"/>
              <w:rPr>
                <w:rFonts w:ascii="Arial" w:hAnsi="Arial" w:cs="Arial"/>
                <w:b/>
              </w:rPr>
            </w:pPr>
            <w:r w:rsidRPr="00E74B77">
              <w:rPr>
                <w:rFonts w:ascii="Arial" w:hAnsi="Arial" w:cs="Arial"/>
                <w:b/>
              </w:rPr>
              <w:t>Telephone Responsiveness</w:t>
            </w:r>
          </w:p>
        </w:tc>
        <w:tc>
          <w:tcPr>
            <w:tcW w:w="2153" w:type="dxa"/>
          </w:tcPr>
          <w:p w14:paraId="5C07D13D" w14:textId="77777777" w:rsidR="00E74B77" w:rsidRPr="00E74B77" w:rsidRDefault="00E74B77" w:rsidP="00DF5F4D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E74B77" w:rsidRPr="00E74B77" w14:paraId="3ECFD45A" w14:textId="77777777" w:rsidTr="00357DC5">
        <w:trPr>
          <w:trHeight w:val="758"/>
        </w:trPr>
        <w:tc>
          <w:tcPr>
            <w:tcW w:w="5400" w:type="dxa"/>
          </w:tcPr>
          <w:p w14:paraId="2BB5761B" w14:textId="77777777" w:rsidR="00E74B77" w:rsidRPr="00E74B77" w:rsidRDefault="00E74B77" w:rsidP="00DF5F4D">
            <w:pPr>
              <w:pStyle w:val="TableParagraph"/>
              <w:ind w:left="107" w:right="27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The employees of UF must have their telephone calls returned within twenty-four hours from receipt.</w:t>
            </w:r>
          </w:p>
        </w:tc>
        <w:tc>
          <w:tcPr>
            <w:tcW w:w="2153" w:type="dxa"/>
            <w:vAlign w:val="center"/>
          </w:tcPr>
          <w:p w14:paraId="6B80B077" w14:textId="77777777" w:rsidR="00E74B77" w:rsidRPr="00E74B77" w:rsidRDefault="00E74B77" w:rsidP="00357DC5">
            <w:pPr>
              <w:pStyle w:val="TableParagraph"/>
              <w:ind w:left="146" w:right="134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$100 per occurrence per day beyond, as</w:t>
            </w:r>
          </w:p>
          <w:p w14:paraId="42FEAA16" w14:textId="77777777" w:rsidR="00E74B77" w:rsidRPr="00E74B77" w:rsidRDefault="00E74B77" w:rsidP="00357DC5">
            <w:pPr>
              <w:pStyle w:val="TableParagraph"/>
              <w:spacing w:line="233" w:lineRule="exact"/>
              <w:ind w:left="143" w:right="134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outlined</w:t>
            </w:r>
          </w:p>
        </w:tc>
      </w:tr>
      <w:tr w:rsidR="00E74B77" w:rsidRPr="00E74B77" w14:paraId="3468B60B" w14:textId="77777777" w:rsidTr="00357DC5">
        <w:trPr>
          <w:trHeight w:val="252"/>
        </w:trPr>
        <w:tc>
          <w:tcPr>
            <w:tcW w:w="5400" w:type="dxa"/>
          </w:tcPr>
          <w:p w14:paraId="461249AD" w14:textId="77777777" w:rsidR="00E74B77" w:rsidRPr="00E74B77" w:rsidRDefault="00E74B77" w:rsidP="00DF5F4D">
            <w:pPr>
              <w:pStyle w:val="TableParagraph"/>
              <w:spacing w:line="233" w:lineRule="exact"/>
              <w:ind w:left="107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Average response time of 30 seconds or better. (Monthly)</w:t>
            </w:r>
          </w:p>
        </w:tc>
        <w:tc>
          <w:tcPr>
            <w:tcW w:w="2153" w:type="dxa"/>
            <w:vAlign w:val="center"/>
          </w:tcPr>
          <w:p w14:paraId="46A1488A" w14:textId="77777777" w:rsidR="00E74B77" w:rsidRPr="00E74B77" w:rsidRDefault="00E74B77" w:rsidP="00357DC5">
            <w:pPr>
              <w:pStyle w:val="TableParagraph"/>
              <w:spacing w:line="233" w:lineRule="exact"/>
              <w:ind w:right="685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$2,000</w:t>
            </w:r>
          </w:p>
        </w:tc>
      </w:tr>
      <w:tr w:rsidR="00E74B77" w:rsidRPr="00E74B77" w14:paraId="671393E3" w14:textId="77777777" w:rsidTr="00357DC5">
        <w:trPr>
          <w:trHeight w:val="251"/>
        </w:trPr>
        <w:tc>
          <w:tcPr>
            <w:tcW w:w="5400" w:type="dxa"/>
          </w:tcPr>
          <w:p w14:paraId="301C8AA8" w14:textId="77777777" w:rsidR="00E74B77" w:rsidRPr="00E74B77" w:rsidRDefault="00E74B77" w:rsidP="00DF5F4D">
            <w:pPr>
              <w:pStyle w:val="TableParagraph"/>
              <w:spacing w:line="232" w:lineRule="exact"/>
              <w:ind w:left="107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Abandonment rate of 5% or less. (Monthly)</w:t>
            </w:r>
          </w:p>
        </w:tc>
        <w:tc>
          <w:tcPr>
            <w:tcW w:w="2153" w:type="dxa"/>
            <w:vAlign w:val="center"/>
          </w:tcPr>
          <w:p w14:paraId="52000D85" w14:textId="77777777" w:rsidR="00E74B77" w:rsidRPr="00E74B77" w:rsidRDefault="00E74B77" w:rsidP="00357DC5">
            <w:pPr>
              <w:pStyle w:val="TableParagraph"/>
              <w:spacing w:line="232" w:lineRule="exact"/>
              <w:ind w:right="685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$2,000</w:t>
            </w:r>
          </w:p>
        </w:tc>
      </w:tr>
      <w:tr w:rsidR="00E74B77" w:rsidRPr="00E74B77" w14:paraId="22F45426" w14:textId="77777777" w:rsidTr="00357DC5">
        <w:trPr>
          <w:trHeight w:val="252"/>
        </w:trPr>
        <w:tc>
          <w:tcPr>
            <w:tcW w:w="5400" w:type="dxa"/>
          </w:tcPr>
          <w:p w14:paraId="751D4CDE" w14:textId="77777777" w:rsidR="00E74B77" w:rsidRPr="00E74B77" w:rsidRDefault="00E74B77" w:rsidP="00DF5F4D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b/>
              </w:rPr>
            </w:pPr>
            <w:r w:rsidRPr="00E74B77"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2153" w:type="dxa"/>
            <w:vAlign w:val="center"/>
          </w:tcPr>
          <w:p w14:paraId="001AE5F3" w14:textId="77777777" w:rsidR="00E74B77" w:rsidRPr="00E74B77" w:rsidRDefault="00E74B77" w:rsidP="00357DC5">
            <w:pPr>
              <w:pStyle w:val="TableParagraph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74B77" w:rsidRPr="00E74B77" w14:paraId="58243ED7" w14:textId="77777777" w:rsidTr="00357DC5">
        <w:trPr>
          <w:trHeight w:val="756"/>
        </w:trPr>
        <w:tc>
          <w:tcPr>
            <w:tcW w:w="5400" w:type="dxa"/>
          </w:tcPr>
          <w:p w14:paraId="124D0A7A" w14:textId="77777777" w:rsidR="00E74B77" w:rsidRPr="00E74B77" w:rsidRDefault="00E74B77" w:rsidP="00DF5F4D">
            <w:pPr>
              <w:pStyle w:val="TableParagraph"/>
              <w:ind w:left="107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MidAmerica agrees to liquidated damages for employee satisfaction ratings below 85%.</w:t>
            </w:r>
          </w:p>
        </w:tc>
        <w:tc>
          <w:tcPr>
            <w:tcW w:w="2153" w:type="dxa"/>
            <w:vAlign w:val="center"/>
          </w:tcPr>
          <w:p w14:paraId="3097B5ED" w14:textId="77777777" w:rsidR="00E74B77" w:rsidRPr="00E74B77" w:rsidRDefault="00E74B77" w:rsidP="00357DC5">
            <w:pPr>
              <w:pStyle w:val="TableParagraph"/>
              <w:spacing w:line="251" w:lineRule="exact"/>
              <w:ind w:left="301" w:firstLine="45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$1,500 for each</w:t>
            </w:r>
          </w:p>
          <w:p w14:paraId="472B0323" w14:textId="51878C2F" w:rsidR="00E74B77" w:rsidRPr="00E74B77" w:rsidRDefault="00E74B77" w:rsidP="00357DC5">
            <w:pPr>
              <w:pStyle w:val="TableParagraph"/>
              <w:spacing w:before="5" w:line="252" w:lineRule="exact"/>
              <w:ind w:left="506" w:right="271" w:hanging="206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percentage point below 85%</w:t>
            </w:r>
          </w:p>
        </w:tc>
      </w:tr>
      <w:tr w:rsidR="00E74B77" w:rsidRPr="00E74B77" w14:paraId="4EE302BD" w14:textId="77777777" w:rsidTr="00357DC5">
        <w:trPr>
          <w:trHeight w:val="755"/>
        </w:trPr>
        <w:tc>
          <w:tcPr>
            <w:tcW w:w="5400" w:type="dxa"/>
          </w:tcPr>
          <w:p w14:paraId="018B91E1" w14:textId="77777777" w:rsidR="00E74B77" w:rsidRPr="00E74B77" w:rsidRDefault="00E74B77" w:rsidP="00DF5F4D">
            <w:pPr>
              <w:pStyle w:val="TableParagraph"/>
              <w:ind w:left="107" w:right="98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Provide annual reporting metrics for each outlined performance standard.</w:t>
            </w:r>
          </w:p>
        </w:tc>
        <w:tc>
          <w:tcPr>
            <w:tcW w:w="2153" w:type="dxa"/>
            <w:vAlign w:val="center"/>
          </w:tcPr>
          <w:p w14:paraId="62681B0F" w14:textId="77777777" w:rsidR="00E74B77" w:rsidRPr="00E74B77" w:rsidRDefault="00E74B77" w:rsidP="00357DC5">
            <w:pPr>
              <w:pStyle w:val="TableParagraph"/>
              <w:spacing w:before="1" w:line="252" w:lineRule="exact"/>
              <w:ind w:left="266" w:right="255" w:firstLine="34"/>
              <w:jc w:val="center"/>
              <w:rPr>
                <w:rFonts w:ascii="Arial" w:hAnsi="Arial" w:cs="Arial"/>
              </w:rPr>
            </w:pPr>
            <w:r w:rsidRPr="00E74B77">
              <w:rPr>
                <w:rFonts w:ascii="Arial" w:hAnsi="Arial" w:cs="Arial"/>
              </w:rPr>
              <w:t>If reporting is not provided, the full penalty will apply.</w:t>
            </w:r>
          </w:p>
        </w:tc>
      </w:tr>
    </w:tbl>
    <w:p w14:paraId="75ECEE5D" w14:textId="77777777" w:rsidR="00E74B77" w:rsidRPr="00E74B77" w:rsidRDefault="00E74B77" w:rsidP="00E74B77">
      <w:pPr>
        <w:pStyle w:val="BodyText"/>
        <w:rPr>
          <w:rFonts w:ascii="Arial" w:hAnsi="Arial" w:cs="Arial"/>
          <w:sz w:val="28"/>
        </w:rPr>
      </w:pPr>
    </w:p>
    <w:p w14:paraId="1D816098" w14:textId="77777777" w:rsidR="00E74B77" w:rsidRPr="00E74B77" w:rsidRDefault="00E74B77" w:rsidP="00357DC5">
      <w:pPr>
        <w:spacing w:before="193"/>
        <w:ind w:left="3543" w:right="720" w:hanging="2823"/>
        <w:jc w:val="center"/>
        <w:rPr>
          <w:rFonts w:ascii="Arial" w:hAnsi="Arial" w:cs="Arial"/>
          <w:b/>
        </w:rPr>
      </w:pPr>
      <w:r w:rsidRPr="00E74B77">
        <w:rPr>
          <w:rFonts w:ascii="Arial" w:hAnsi="Arial" w:cs="Arial"/>
          <w:b/>
        </w:rPr>
        <w:t>Performance penalties will be capped at $10,000.00</w:t>
      </w:r>
    </w:p>
    <w:p w14:paraId="6D5AE8D1" w14:textId="77777777" w:rsidR="00323BA1" w:rsidRPr="00323BA1" w:rsidRDefault="00323BA1" w:rsidP="00E74B77">
      <w:pPr>
        <w:spacing w:after="120" w:line="240" w:lineRule="auto"/>
        <w:jc w:val="both"/>
        <w:rPr>
          <w:rFonts w:ascii="Arial" w:hAnsi="Arial" w:cs="Arial"/>
        </w:rPr>
      </w:pPr>
    </w:p>
    <w:sectPr w:rsidR="00323BA1" w:rsidRPr="00323B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5C37" w14:textId="77777777" w:rsidR="00323BA1" w:rsidRDefault="00323BA1" w:rsidP="00323BA1">
      <w:pPr>
        <w:spacing w:after="0" w:line="240" w:lineRule="auto"/>
      </w:pPr>
      <w:r>
        <w:separator/>
      </w:r>
    </w:p>
  </w:endnote>
  <w:endnote w:type="continuationSeparator" w:id="0">
    <w:p w14:paraId="51F98F41" w14:textId="77777777" w:rsidR="00323BA1" w:rsidRDefault="00323BA1" w:rsidP="0032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862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7696B" w14:textId="14313800" w:rsidR="00323BA1" w:rsidRDefault="00323B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822DE" w14:textId="77777777" w:rsidR="00323BA1" w:rsidRDefault="00323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2D2B" w14:textId="77777777" w:rsidR="00323BA1" w:rsidRDefault="00323BA1" w:rsidP="00323BA1">
      <w:pPr>
        <w:spacing w:after="0" w:line="240" w:lineRule="auto"/>
      </w:pPr>
      <w:r>
        <w:separator/>
      </w:r>
    </w:p>
  </w:footnote>
  <w:footnote w:type="continuationSeparator" w:id="0">
    <w:p w14:paraId="23A46E13" w14:textId="77777777" w:rsidR="00323BA1" w:rsidRDefault="00323BA1" w:rsidP="0032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7A"/>
    <w:rsid w:val="000D0E0B"/>
    <w:rsid w:val="00323BA1"/>
    <w:rsid w:val="00357DC5"/>
    <w:rsid w:val="0037287A"/>
    <w:rsid w:val="003F3F30"/>
    <w:rsid w:val="00473F6D"/>
    <w:rsid w:val="00483D31"/>
    <w:rsid w:val="005005FF"/>
    <w:rsid w:val="00615D6C"/>
    <w:rsid w:val="0078105D"/>
    <w:rsid w:val="00783423"/>
    <w:rsid w:val="008E6FE8"/>
    <w:rsid w:val="009E4D6E"/>
    <w:rsid w:val="00A0493F"/>
    <w:rsid w:val="00A10166"/>
    <w:rsid w:val="00A4622F"/>
    <w:rsid w:val="00AB3B51"/>
    <w:rsid w:val="00AC3964"/>
    <w:rsid w:val="00AD71F0"/>
    <w:rsid w:val="00BC2A1C"/>
    <w:rsid w:val="00CB7157"/>
    <w:rsid w:val="00CC7DC8"/>
    <w:rsid w:val="00D4388E"/>
    <w:rsid w:val="00D82395"/>
    <w:rsid w:val="00E004CB"/>
    <w:rsid w:val="00E74B77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0D7C"/>
  <w15:chartTrackingRefBased/>
  <w15:docId w15:val="{B5D6FBE7-8498-4815-8103-710BC391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A1"/>
  </w:style>
  <w:style w:type="paragraph" w:styleId="Footer">
    <w:name w:val="footer"/>
    <w:basedOn w:val="Normal"/>
    <w:link w:val="FooterChar"/>
    <w:uiPriority w:val="99"/>
    <w:unhideWhenUsed/>
    <w:rsid w:val="00323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A1"/>
  </w:style>
  <w:style w:type="paragraph" w:styleId="BodyText">
    <w:name w:val="Body Text"/>
    <w:basedOn w:val="Normal"/>
    <w:link w:val="BodyTextChar"/>
    <w:rsid w:val="00CB715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B715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4B7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Fernandez</dc:creator>
  <cp:keywords/>
  <dc:description/>
  <cp:lastModifiedBy>Christine Fernandez</cp:lastModifiedBy>
  <cp:revision>2</cp:revision>
  <dcterms:created xsi:type="dcterms:W3CDTF">2020-05-11T14:50:00Z</dcterms:created>
  <dcterms:modified xsi:type="dcterms:W3CDTF">2020-05-11T14:50:00Z</dcterms:modified>
</cp:coreProperties>
</file>